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52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EE964DD">
        <w:trPr>
          <w:trHeight w:val="1124" w:hRule="atLeast"/>
          <w:jc w:val="center"/>
        </w:trPr>
        <w:tc>
          <w:tcPr>
            <w:tcW w:w="8522" w:type="dxa"/>
            <w:vAlign w:val="center"/>
          </w:tcPr>
          <w:p w14:paraId="4F0C1E0B">
            <w:pPr>
              <w:widowControl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2152650" cy="628650"/>
                  <wp:effectExtent l="0" t="0" r="0" b="0"/>
                  <wp:docPr id="5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E9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  <w:jc w:val="center"/>
        </w:trPr>
        <w:tc>
          <w:tcPr>
            <w:tcW w:w="8522" w:type="dxa"/>
            <w:vAlign w:val="center"/>
          </w:tcPr>
          <w:p w14:paraId="6F310F5A">
            <w:pPr>
              <w:ind w:left="-323" w:leftChars="-147" w:firstLine="2160" w:firstLineChars="300"/>
              <w:jc w:val="left"/>
              <w:rPr>
                <w:rFonts w:hint="eastAsia" w:ascii="黑体" w:hAnsi="黑体" w:eastAsia="黑体" w:cs="Arial"/>
                <w:snapToGrid w:val="0"/>
                <w:sz w:val="72"/>
                <w:szCs w:val="72"/>
              </w:rPr>
            </w:pPr>
            <w:bookmarkStart w:id="0" w:name="OLE_LINK4"/>
            <w:bookmarkStart w:id="1" w:name="OLE_LINK3"/>
            <w:r>
              <w:rPr>
                <w:rFonts w:hint="eastAsia" w:ascii="黑体" w:hAnsi="黑体" w:eastAsia="黑体" w:cs="Arial"/>
                <w:snapToGrid w:val="0"/>
                <w:sz w:val="72"/>
                <w:szCs w:val="72"/>
              </w:rPr>
              <w:t>南京晓庄学院</w:t>
            </w:r>
          </w:p>
          <w:p w14:paraId="7A5B1F51">
            <w:pPr>
              <w:ind w:firstLine="1440" w:firstLineChars="200"/>
              <w:jc w:val="left"/>
              <w:rPr>
                <w:rFonts w:hint="eastAsia" w:ascii="黑体" w:hAnsi="黑体" w:eastAsia="黑体" w:cs="Arial"/>
                <w:snapToGrid w:val="0"/>
                <w:sz w:val="72"/>
                <w:szCs w:val="72"/>
              </w:rPr>
            </w:pPr>
            <w:bookmarkStart w:id="8" w:name="_GoBack"/>
            <w:bookmarkEnd w:id="8"/>
            <w:r>
              <w:rPr>
                <w:rFonts w:hint="eastAsia" w:ascii="黑体" w:hAnsi="黑体" w:eastAsia="黑体" w:cs="Arial"/>
                <w:snapToGrid w:val="0"/>
                <w:sz w:val="72"/>
                <w:szCs w:val="72"/>
              </w:rPr>
              <w:t>办公自动化系统</w:t>
            </w:r>
          </w:p>
          <w:bookmarkEnd w:id="0"/>
          <w:bookmarkEnd w:id="1"/>
          <w:p w14:paraId="14CD5626">
            <w:pPr>
              <w:ind w:firstLine="2240" w:firstLineChars="400"/>
              <w:jc w:val="left"/>
              <w:rPr>
                <w:rFonts w:hint="eastAsia"/>
                <w:snapToGrid w:val="0"/>
                <w:sz w:val="56"/>
                <w:szCs w:val="72"/>
              </w:rPr>
            </w:pPr>
            <w:r>
              <w:rPr>
                <w:rFonts w:hint="eastAsia"/>
                <w:snapToGrid w:val="0"/>
                <w:sz w:val="56"/>
                <w:szCs w:val="72"/>
              </w:rPr>
              <w:t>教职工使用手册</w:t>
            </w:r>
          </w:p>
        </w:tc>
      </w:tr>
      <w:tr w14:paraId="680F8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0" w:hRule="atLeast"/>
          <w:jc w:val="center"/>
        </w:trPr>
        <w:tc>
          <w:tcPr>
            <w:tcW w:w="8522" w:type="dxa"/>
            <w:vAlign w:val="bottom"/>
          </w:tcPr>
          <w:p w14:paraId="427DDE35">
            <w:pPr>
              <w:pBdr>
                <w:top w:val="single" w:color="auto" w:sz="4" w:space="1"/>
              </w:pBdr>
              <w:ind w:firstLine="360" w:firstLineChars="200"/>
              <w:jc w:val="left"/>
              <w:rPr>
                <w:rFonts w:hint="eastAsia"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版权声明和保密须知</w:t>
            </w:r>
          </w:p>
          <w:p w14:paraId="71C28206">
            <w:pPr>
              <w:ind w:firstLine="360" w:firstLineChars="200"/>
              <w:jc w:val="left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本文件中出现的任何文字叙述、文档格式、插图、照片、方法、过程等内容，除另有特别注明，版权均属</w:t>
            </w:r>
            <w:r>
              <w:rPr>
                <w:rFonts w:hint="eastAsia" w:cs="Arial"/>
                <w:sz w:val="18"/>
                <w:szCs w:val="18"/>
              </w:rPr>
              <w:t>金智教育股份有限公司</w:t>
            </w:r>
            <w:r>
              <w:rPr>
                <w:rFonts w:cs="Arial"/>
                <w:sz w:val="18"/>
                <w:szCs w:val="18"/>
              </w:rPr>
              <w:t>所有，受到有关产权及版权法保护。任何单位和个人未经</w:t>
            </w:r>
            <w:r>
              <w:rPr>
                <w:rFonts w:hint="eastAsia" w:cs="Arial"/>
                <w:sz w:val="18"/>
                <w:szCs w:val="18"/>
              </w:rPr>
              <w:t>金智教育股份有限公司</w:t>
            </w:r>
            <w:r>
              <w:rPr>
                <w:rFonts w:cs="Arial"/>
                <w:sz w:val="18"/>
                <w:szCs w:val="18"/>
              </w:rPr>
              <w:t>的书面授权许可，不得复制或引用本文件的任何片断，无论是通过电子形式或非电子形式。</w:t>
            </w:r>
          </w:p>
          <w:p w14:paraId="4E031A2A">
            <w:pPr>
              <w:rPr>
                <w:rFonts w:hint="eastAsia"/>
              </w:rPr>
            </w:pPr>
            <w:r>
              <w:rPr>
                <w:rFonts w:cs="Arial"/>
                <w:b/>
                <w:sz w:val="18"/>
                <w:szCs w:val="18"/>
              </w:rPr>
              <w:t>Copyright © 20</w:t>
            </w:r>
            <w:r>
              <w:rPr>
                <w:rFonts w:hint="eastAsia" w:cs="Arial"/>
                <w:b/>
                <w:sz w:val="18"/>
                <w:szCs w:val="18"/>
              </w:rPr>
              <w:t>23</w:t>
            </w:r>
            <w:r>
              <w:rPr>
                <w:rFonts w:hint="eastAsia" w:cs="Arial"/>
                <w:b/>
                <w:bCs/>
                <w:sz w:val="18"/>
                <w:szCs w:val="18"/>
              </w:rPr>
              <w:t>金智教育股份有限公司</w:t>
            </w:r>
            <w:r>
              <w:rPr>
                <w:rFonts w:cs="Arial"/>
                <w:b/>
                <w:bCs/>
                <w:sz w:val="18"/>
                <w:szCs w:val="18"/>
              </w:rPr>
              <w:t>版权所有</w:t>
            </w:r>
          </w:p>
        </w:tc>
      </w:tr>
    </w:tbl>
    <w:p w14:paraId="377AFEE5">
      <w:pPr>
        <w:widowControl/>
        <w:jc w:val="left"/>
        <w:rPr>
          <w:rFonts w:hint="eastAsia"/>
        </w:rPr>
        <w:sectPr>
          <w:headerReference r:id="rId3" w:type="first"/>
          <w:footerReference r:id="rId4" w:type="first"/>
          <w:pgSz w:w="11906" w:h="16838"/>
          <w:pgMar w:top="1701" w:right="1134" w:bottom="1701" w:left="1134" w:header="1020" w:footer="358" w:gutter="0"/>
          <w:pgNumType w:fmt="lowerRoman"/>
          <w:cols w:space="720" w:num="1"/>
          <w:titlePg/>
          <w:docGrid w:type="lines" w:linePitch="312" w:charSpace="0"/>
        </w:sectPr>
      </w:pPr>
    </w:p>
    <w:p w14:paraId="04916CB0">
      <w:pPr>
        <w:widowControl/>
        <w:ind w:firstLine="440" w:firstLineChars="200"/>
        <w:jc w:val="left"/>
        <w:rPr>
          <w:rFonts w:hint="eastAsia"/>
          <w:b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-8255635</wp:posOffset>
                </wp:positionV>
                <wp:extent cx="1402080" cy="1973580"/>
                <wp:effectExtent l="342900" t="0" r="26670" b="64770"/>
                <wp:wrapNone/>
                <wp:docPr id="92" name="矩形标注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973580"/>
                        </a:xfrm>
                        <a:prstGeom prst="wedgeRectCallout">
                          <a:avLst>
                            <a:gd name="adj1" fmla="val -73634"/>
                            <a:gd name="adj2" fmla="val -12380"/>
                          </a:avLst>
                        </a:prstGeom>
                        <a:solidFill>
                          <a:srgbClr val="D9E2F3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>
                          <a:outerShdw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44883E64">
                            <w:pPr>
                              <w:pStyle w:val="1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此页为封面页，为通用模版；</w:t>
                            </w:r>
                          </w:p>
                          <w:p w14:paraId="39CE5101">
                            <w:pPr>
                              <w:pStyle w:val="1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注意页眉、页脚与下文不同；</w:t>
                            </w:r>
                          </w:p>
                          <w:p w14:paraId="3B066290">
                            <w:pPr>
                              <w:pStyle w:val="16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标题注意居中，与文件名称一致。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2.4pt;margin-top:-650.05pt;height:155.4pt;width:110.4pt;z-index:251659264;v-text-anchor:middle;mso-width-relative:page;mso-height-relative:page;" fillcolor="#D9E2F3" filled="t" stroked="t" coordsize="21600,21600" o:gfxdata="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Hw4FKN0AAAAP&#10;AQAADwAAAAAAAAABACAAAAAiAAAAZHJzL2Rvd25yZXYueG1sUEsBAhQAFAAAAAgAh07iQDwh8ADC&#10;AgAAigUAAA4AAAAAAAAAAQAgAAAALAEAAGRycy9lMm9Eb2MueG1sUEsFBgAAAAAGAAYAWQEAAGAG&#10;AAAAAA==&#10;" adj="-5105,8126">
                <v:fill on="t" focussize="0,0"/>
                <v:stroke weight="1pt" color="#5B9BD5" miterlimit="8" joinstyle="miter"/>
                <v:imagedata o:title=""/>
                <o:lock v:ext="edit" aspectratio="f"/>
                <v:shadow on="t" color="#000000" opacity="26213f" offset="0pt,3pt" origin="0f,-32768f" matrix="65536f,0f,0f,65536f"/>
                <v:textbox>
                  <w:txbxContent>
                    <w:p w14:paraId="44883E64">
                      <w:pPr>
                        <w:pStyle w:val="1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此页为封面页，为通用模版；</w:t>
                      </w:r>
                    </w:p>
                    <w:p w14:paraId="39CE5101">
                      <w:pPr>
                        <w:pStyle w:val="1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注意页眉、页脚与下文不同；</w:t>
                      </w:r>
                    </w:p>
                    <w:p w14:paraId="3B066290">
                      <w:pPr>
                        <w:pStyle w:val="16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标题注意居中，与文件名称一致。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2"/>
          <w:szCs w:val="32"/>
        </w:rPr>
        <w:t>修订历史记录</w:t>
      </w:r>
    </w:p>
    <w:tbl>
      <w:tblPr>
        <w:tblStyle w:val="8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910"/>
        <w:gridCol w:w="3797"/>
        <w:gridCol w:w="1957"/>
        <w:gridCol w:w="1183"/>
      </w:tblGrid>
      <w:tr w14:paraId="00520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5A035914">
            <w:pPr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910" w:type="dxa"/>
            <w:shd w:val="pct10" w:color="auto" w:fill="auto"/>
            <w:vAlign w:val="center"/>
          </w:tcPr>
          <w:p w14:paraId="4D7D367F">
            <w:pPr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修改人</w:t>
            </w:r>
          </w:p>
        </w:tc>
        <w:tc>
          <w:tcPr>
            <w:tcW w:w="3797" w:type="dxa"/>
            <w:shd w:val="pct10" w:color="auto" w:fill="auto"/>
            <w:vAlign w:val="center"/>
          </w:tcPr>
          <w:p w14:paraId="57A084FF">
            <w:pPr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修改描述</w:t>
            </w:r>
          </w:p>
        </w:tc>
        <w:tc>
          <w:tcPr>
            <w:tcW w:w="1957" w:type="dxa"/>
            <w:shd w:val="pct10" w:color="auto" w:fill="auto"/>
            <w:vAlign w:val="center"/>
          </w:tcPr>
          <w:p w14:paraId="441B02D4">
            <w:pPr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生效日期</w:t>
            </w:r>
          </w:p>
        </w:tc>
        <w:tc>
          <w:tcPr>
            <w:tcW w:w="1183" w:type="dxa"/>
            <w:shd w:val="pct10" w:color="auto" w:fill="auto"/>
            <w:vAlign w:val="center"/>
          </w:tcPr>
          <w:p w14:paraId="5B4850D6">
            <w:pPr>
              <w:jc w:val="lef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版本</w:t>
            </w:r>
          </w:p>
        </w:tc>
      </w:tr>
      <w:tr w14:paraId="4479E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5" w:type="dxa"/>
            <w:vAlign w:val="center"/>
          </w:tcPr>
          <w:p w14:paraId="6632BD85">
            <w:pPr>
              <w:jc w:val="center"/>
              <w:rPr>
                <w:rFonts w:hint="eastAsia" w:cs="Arial"/>
                <w:sz w:val="18"/>
                <w:szCs w:val="18"/>
              </w:rPr>
            </w:pPr>
            <w:r>
              <w:rPr>
                <w:rFonts w:hint="eastAsia" w:cs="Arial"/>
                <w:sz w:val="18"/>
                <w:szCs w:val="18"/>
              </w:rPr>
              <w:t>1</w:t>
            </w:r>
          </w:p>
        </w:tc>
        <w:tc>
          <w:tcPr>
            <w:tcW w:w="910" w:type="dxa"/>
            <w:vAlign w:val="center"/>
          </w:tcPr>
          <w:p w14:paraId="439D8A2F"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周阳光</w:t>
            </w:r>
          </w:p>
        </w:tc>
        <w:tc>
          <w:tcPr>
            <w:tcW w:w="3797" w:type="dxa"/>
            <w:vAlign w:val="center"/>
          </w:tcPr>
          <w:p w14:paraId="0DCB0066"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操作手册编写</w:t>
            </w:r>
          </w:p>
        </w:tc>
        <w:tc>
          <w:tcPr>
            <w:tcW w:w="1957" w:type="dxa"/>
            <w:vAlign w:val="center"/>
          </w:tcPr>
          <w:p w14:paraId="3FDAFBEE">
            <w:pPr>
              <w:jc w:val="left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</w:t>
            </w:r>
            <w:r>
              <w:rPr>
                <w:rFonts w:hint="eastAsia" w:cs="Arial"/>
                <w:sz w:val="18"/>
                <w:szCs w:val="18"/>
              </w:rPr>
              <w:t>24</w:t>
            </w:r>
            <w:r>
              <w:rPr>
                <w:rFonts w:cs="Arial"/>
                <w:sz w:val="18"/>
                <w:szCs w:val="18"/>
              </w:rPr>
              <w:t>年</w:t>
            </w:r>
            <w:r>
              <w:rPr>
                <w:rFonts w:hint="eastAsia"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月</w:t>
            </w:r>
            <w:r>
              <w:rPr>
                <w:rFonts w:hint="eastAsia" w:cs="Arial"/>
                <w:sz w:val="18"/>
                <w:szCs w:val="18"/>
              </w:rPr>
              <w:t>12</w:t>
            </w:r>
            <w:r>
              <w:rPr>
                <w:rFonts w:cs="Arial"/>
                <w:sz w:val="18"/>
                <w:szCs w:val="18"/>
              </w:rPr>
              <w:t>日</w:t>
            </w:r>
          </w:p>
        </w:tc>
        <w:tc>
          <w:tcPr>
            <w:tcW w:w="1183" w:type="dxa"/>
            <w:vAlign w:val="center"/>
          </w:tcPr>
          <w:p w14:paraId="4EFFC01D">
            <w:pPr>
              <w:jc w:val="left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</w:t>
            </w:r>
            <w:r>
              <w:rPr>
                <w:rFonts w:hint="eastAsia" w:cs="Arial"/>
                <w:sz w:val="18"/>
                <w:szCs w:val="18"/>
              </w:rPr>
              <w:t>0.1</w:t>
            </w:r>
          </w:p>
        </w:tc>
      </w:tr>
      <w:tr w14:paraId="5C372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vAlign w:val="center"/>
          </w:tcPr>
          <w:p w14:paraId="1473E8A3">
            <w:pPr>
              <w:jc w:val="center"/>
              <w:rPr>
                <w:rFonts w:hint="eastAsia" w:cs="Arial"/>
                <w:sz w:val="18"/>
                <w:szCs w:val="18"/>
              </w:rPr>
            </w:pPr>
            <w:r>
              <w:rPr>
                <w:rFonts w:hint="eastAsia" w:cs="Arial"/>
                <w:sz w:val="18"/>
                <w:szCs w:val="18"/>
              </w:rPr>
              <w:t>2</w:t>
            </w:r>
          </w:p>
        </w:tc>
        <w:tc>
          <w:tcPr>
            <w:tcW w:w="910" w:type="dxa"/>
            <w:vAlign w:val="center"/>
          </w:tcPr>
          <w:p w14:paraId="3DB076C7">
            <w:pPr>
              <w:jc w:val="left"/>
              <w:rPr>
                <w:rFonts w:hint="eastAsia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李俊</w:t>
            </w:r>
          </w:p>
        </w:tc>
        <w:tc>
          <w:tcPr>
            <w:tcW w:w="3797" w:type="dxa"/>
            <w:vAlign w:val="center"/>
          </w:tcPr>
          <w:p w14:paraId="35C987A9">
            <w:pPr>
              <w:jc w:val="left"/>
              <w:rPr>
                <w:rFonts w:hint="eastAsia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操作手册修改</w:t>
            </w:r>
          </w:p>
        </w:tc>
        <w:tc>
          <w:tcPr>
            <w:tcW w:w="1957" w:type="dxa"/>
            <w:vAlign w:val="center"/>
          </w:tcPr>
          <w:p w14:paraId="0F66304B">
            <w:pPr>
              <w:jc w:val="left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</w:t>
            </w:r>
            <w:r>
              <w:rPr>
                <w:rFonts w:hint="eastAsia" w:cs="Arial"/>
                <w:sz w:val="18"/>
                <w:szCs w:val="18"/>
              </w:rPr>
              <w:t>24</w:t>
            </w:r>
            <w:r>
              <w:rPr>
                <w:rFonts w:cs="Arial"/>
                <w:sz w:val="18"/>
                <w:szCs w:val="18"/>
              </w:rPr>
              <w:t>年</w:t>
            </w:r>
            <w:r>
              <w:rPr>
                <w:rFonts w:hint="eastAsia" w:cs="Arial"/>
                <w:sz w:val="18"/>
                <w:szCs w:val="18"/>
              </w:rPr>
              <w:t>3</w:t>
            </w:r>
            <w:r>
              <w:rPr>
                <w:rFonts w:cs="Arial"/>
                <w:sz w:val="18"/>
                <w:szCs w:val="18"/>
              </w:rPr>
              <w:t>月</w:t>
            </w:r>
            <w:r>
              <w:rPr>
                <w:rFonts w:hint="eastAsia" w:cs="Arial"/>
                <w:sz w:val="18"/>
                <w:szCs w:val="18"/>
              </w:rPr>
              <w:t>17</w:t>
            </w:r>
            <w:r>
              <w:rPr>
                <w:rFonts w:cs="Arial"/>
                <w:sz w:val="18"/>
                <w:szCs w:val="18"/>
              </w:rPr>
              <w:t>日</w:t>
            </w:r>
          </w:p>
        </w:tc>
        <w:tc>
          <w:tcPr>
            <w:tcW w:w="1183" w:type="dxa"/>
            <w:vAlign w:val="center"/>
          </w:tcPr>
          <w:p w14:paraId="5E57752D">
            <w:pPr>
              <w:jc w:val="left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</w:t>
            </w:r>
            <w:r>
              <w:rPr>
                <w:rFonts w:hint="eastAsia" w:cs="Arial"/>
                <w:sz w:val="18"/>
                <w:szCs w:val="18"/>
              </w:rPr>
              <w:t>0.2</w:t>
            </w:r>
          </w:p>
        </w:tc>
      </w:tr>
      <w:tr w14:paraId="172B9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vAlign w:val="center"/>
          </w:tcPr>
          <w:p w14:paraId="4AF5FF47">
            <w:pPr>
              <w:jc w:val="center"/>
              <w:rPr>
                <w:rFonts w:hint="eastAsia" w:cs="Arial"/>
                <w:sz w:val="18"/>
                <w:szCs w:val="18"/>
              </w:rPr>
            </w:pPr>
            <w:r>
              <w:rPr>
                <w:rFonts w:hint="eastAsia" w:cs="Arial"/>
                <w:sz w:val="18"/>
                <w:szCs w:val="18"/>
              </w:rPr>
              <w:t>3</w:t>
            </w:r>
          </w:p>
        </w:tc>
        <w:tc>
          <w:tcPr>
            <w:tcW w:w="910" w:type="dxa"/>
            <w:vAlign w:val="center"/>
          </w:tcPr>
          <w:p w14:paraId="5A4F2E91">
            <w:pPr>
              <w:jc w:val="left"/>
              <w:rPr>
                <w:rFonts w:hint="eastAsia" w:cs="宋体"/>
                <w:sz w:val="18"/>
                <w:szCs w:val="18"/>
              </w:rPr>
            </w:pPr>
          </w:p>
        </w:tc>
        <w:tc>
          <w:tcPr>
            <w:tcW w:w="3797" w:type="dxa"/>
            <w:vAlign w:val="center"/>
          </w:tcPr>
          <w:p w14:paraId="2ABA6078">
            <w:pPr>
              <w:jc w:val="left"/>
              <w:rPr>
                <w:rFonts w:hint="eastAsia" w:cs="宋体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14:paraId="4B13B5BB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  <w:tc>
          <w:tcPr>
            <w:tcW w:w="1183" w:type="dxa"/>
            <w:vAlign w:val="center"/>
          </w:tcPr>
          <w:p w14:paraId="4E2FB47A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</w:tr>
      <w:tr w14:paraId="2FE22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vAlign w:val="center"/>
          </w:tcPr>
          <w:p w14:paraId="7EFCBF93">
            <w:pPr>
              <w:jc w:val="center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10" w:type="dxa"/>
            <w:vAlign w:val="center"/>
          </w:tcPr>
          <w:p w14:paraId="414E74CC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3797" w:type="dxa"/>
            <w:vAlign w:val="center"/>
          </w:tcPr>
          <w:p w14:paraId="79E37C77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14:paraId="272AD093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  <w:tc>
          <w:tcPr>
            <w:tcW w:w="1183" w:type="dxa"/>
            <w:vAlign w:val="center"/>
          </w:tcPr>
          <w:p w14:paraId="30906E3F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</w:tr>
      <w:tr w14:paraId="3B4E5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vAlign w:val="center"/>
          </w:tcPr>
          <w:p w14:paraId="1319B0EE">
            <w:pPr>
              <w:jc w:val="center"/>
              <w:rPr>
                <w:rFonts w:hint="eastAsia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0" w:type="dxa"/>
            <w:vAlign w:val="center"/>
          </w:tcPr>
          <w:p w14:paraId="5BA559B3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3797" w:type="dxa"/>
            <w:vAlign w:val="center"/>
          </w:tcPr>
          <w:p w14:paraId="716F0D8D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14:paraId="4C67DF25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  <w:tc>
          <w:tcPr>
            <w:tcW w:w="1183" w:type="dxa"/>
            <w:vAlign w:val="center"/>
          </w:tcPr>
          <w:p w14:paraId="47E87146">
            <w:pPr>
              <w:jc w:val="left"/>
              <w:rPr>
                <w:rFonts w:hint="eastAsia" w:cs="Arial"/>
                <w:sz w:val="18"/>
                <w:szCs w:val="18"/>
              </w:rPr>
            </w:pPr>
          </w:p>
        </w:tc>
      </w:tr>
    </w:tbl>
    <w:p w14:paraId="2E4D1D57">
      <w:pPr>
        <w:pStyle w:val="22"/>
        <w:ind w:left="-323" w:firstLine="960"/>
        <w:rPr>
          <w:rFonts w:hint="eastAsia"/>
        </w:rPr>
      </w:pPr>
      <w:r>
        <w:rPr>
          <w:sz w:val="40"/>
          <w:szCs w:val="144"/>
        </w:rPr>
        <w:t>产品</w:t>
      </w:r>
      <w:r>
        <w:rPr>
          <w:rFonts w:hint="eastAsia"/>
          <w:sz w:val="40"/>
          <w:szCs w:val="144"/>
        </w:rPr>
        <w:t>环境要求</w:t>
      </w:r>
    </w:p>
    <w:p w14:paraId="5F6B5DC2">
      <w:pPr>
        <w:pStyle w:val="1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b/>
        </w:rPr>
        <w:t>操作系统</w:t>
      </w:r>
      <w:r>
        <w:rPr>
          <w:rFonts w:hint="eastAsia"/>
        </w:rPr>
        <w:t>：</w:t>
      </w:r>
      <w:r>
        <w:t>WIN7及以上；</w:t>
      </w:r>
    </w:p>
    <w:p w14:paraId="34F8BC6F">
      <w:pPr>
        <w:pStyle w:val="17"/>
        <w:widowControl/>
        <w:numPr>
          <w:ilvl w:val="0"/>
          <w:numId w:val="3"/>
        </w:numPr>
        <w:ind w:firstLineChars="0"/>
        <w:jc w:val="left"/>
        <w:rPr>
          <w:rFonts w:hint="eastAsia"/>
        </w:rPr>
      </w:pPr>
      <w:r>
        <w:rPr>
          <w:rFonts w:hint="eastAsia"/>
          <w:b/>
        </w:rPr>
        <w:t>浏览器</w:t>
      </w:r>
      <w:r>
        <w:rPr>
          <w:rFonts w:hint="eastAsia"/>
        </w:rPr>
        <w:t>：  360安全浏览器最新版本（极速模式）或chrome，推荐chrome；</w:t>
      </w:r>
    </w:p>
    <w:p w14:paraId="4561C9D0">
      <w:pPr>
        <w:pStyle w:val="17"/>
        <w:widowControl/>
        <w:ind w:firstLine="0" w:firstLineChars="0"/>
        <w:jc w:val="left"/>
        <w:rPr>
          <w:rFonts w:hint="eastAsia"/>
        </w:rPr>
      </w:pPr>
      <w:r>
        <w:rPr>
          <w:rFonts w:hint="eastAsia"/>
        </w:rPr>
        <w:t>360安全浏览器：</w:t>
      </w:r>
      <w:r>
        <w:fldChar w:fldCharType="begin"/>
      </w:r>
      <w:r>
        <w:instrText xml:space="preserve"> HYPERLINK "http://browser.360.cn/" </w:instrText>
      </w:r>
      <w:r>
        <w:fldChar w:fldCharType="separate"/>
      </w:r>
      <w:r>
        <w:rPr>
          <w:rStyle w:val="11"/>
        </w:rPr>
        <w:t>http://browser.360.cn/</w:t>
      </w:r>
      <w:r>
        <w:rPr>
          <w:rStyle w:val="11"/>
        </w:rPr>
        <w:fldChar w:fldCharType="end"/>
      </w:r>
    </w:p>
    <w:p w14:paraId="53880215">
      <w:pPr>
        <w:pStyle w:val="17"/>
        <w:widowControl/>
        <w:ind w:firstLine="0" w:firstLineChars="0"/>
        <w:jc w:val="left"/>
        <w:rPr>
          <w:rFonts w:hint="eastAsia"/>
        </w:rPr>
      </w:pPr>
      <w:r>
        <w:rPr>
          <w:rFonts w:hint="eastAsia"/>
          <w:color w:val="FF0000"/>
        </w:rPr>
        <w:t>推荐：</w:t>
      </w:r>
      <w:r>
        <w:rPr>
          <w:rFonts w:hint="eastAsia"/>
        </w:rPr>
        <w:t>谷歌浏览器：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1"/>
          <w:rFonts w:hint="eastAsia"/>
        </w:rPr>
        <w:t>https://www.google.cn/intl/zh-CN/chrome/</w:t>
      </w:r>
      <w:r>
        <w:rPr>
          <w:rStyle w:val="11"/>
          <w:rFonts w:hint="eastAsia"/>
        </w:rPr>
        <w:fldChar w:fldCharType="end"/>
      </w:r>
    </w:p>
    <w:p w14:paraId="23C4D172">
      <w:pPr>
        <w:pStyle w:val="17"/>
        <w:widowControl/>
        <w:ind w:firstLine="0" w:firstLineChars="0"/>
        <w:jc w:val="left"/>
        <w:rPr>
          <w:rFonts w:hint="eastAsia"/>
        </w:rPr>
      </w:pPr>
      <w:r>
        <w:rPr>
          <w:b/>
        </w:rPr>
        <w:t>Office</w:t>
      </w:r>
      <w:r>
        <w:t>：</w:t>
      </w:r>
      <w:r>
        <w:rPr>
          <w:rFonts w:hint="eastAsia"/>
        </w:rPr>
        <w:t>最低</w:t>
      </w:r>
      <w:r>
        <w:t>Office2010及以上，推荐Office2016</w:t>
      </w:r>
      <w:r>
        <w:rPr>
          <w:rFonts w:hint="eastAsia"/>
        </w:rPr>
        <w:t>以上</w:t>
      </w:r>
      <w:r>
        <w:t>；（如不需要起草、修改文件正文，则对Office无要求。）</w:t>
      </w:r>
    </w:p>
    <w:p w14:paraId="50A3D8E1">
      <w:pPr>
        <w:pStyle w:val="22"/>
        <w:ind w:left="-323" w:firstLine="960"/>
        <w:rPr>
          <w:rFonts w:hint="eastAsia"/>
          <w:sz w:val="40"/>
          <w:szCs w:val="144"/>
        </w:rPr>
      </w:pPr>
      <w:r>
        <w:rPr>
          <w:sz w:val="40"/>
          <w:szCs w:val="144"/>
        </w:rPr>
        <w:t>系统访问说明</w:t>
      </w:r>
    </w:p>
    <w:p w14:paraId="38C4211B">
      <w:pPr>
        <w:pStyle w:val="3"/>
        <w:rPr>
          <w:rFonts w:hint="eastAsia"/>
        </w:rPr>
      </w:pPr>
      <w:r>
        <w:rPr>
          <w:rFonts w:hint="eastAsia"/>
        </w:rPr>
        <w:t>2.1PC端系统访问</w:t>
      </w:r>
    </w:p>
    <w:p w14:paraId="5736DBD4">
      <w:pPr>
        <w:pStyle w:val="17"/>
        <w:ind w:left="42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1.在浏览器地址栏输入系统访问地址：</w:t>
      </w:r>
    </w:p>
    <w:p w14:paraId="7086C788">
      <w:pPr>
        <w:pStyle w:val="16"/>
        <w:spacing w:line="360" w:lineRule="auto"/>
        <w:rPr>
          <w:rFonts w:hint="eastAsia" w:ascii="微软雅黑" w:hAnsi="微软雅黑" w:eastAsia="微软雅黑" w:cstheme="minorBidi"/>
          <w:sz w:val="22"/>
        </w:rPr>
      </w:pPr>
      <w:r>
        <w:fldChar w:fldCharType="begin"/>
      </w:r>
      <w:r>
        <w:instrText xml:space="preserve"> HYPERLINK "https://xzoa.njxzc.edu.cn/oadt/sys/newoasygl/home.do" </w:instrText>
      </w:r>
      <w:r>
        <w:fldChar w:fldCharType="separate"/>
      </w:r>
      <w:r>
        <w:rPr>
          <w:rStyle w:val="11"/>
          <w:rFonts w:hint="eastAsia" w:ascii="微软雅黑" w:hAnsi="微软雅黑" w:eastAsia="微软雅黑" w:cstheme="minorBidi"/>
          <w:sz w:val="22"/>
        </w:rPr>
        <w:t>https://xzoa.njxzc.edu.cn</w:t>
      </w:r>
      <w:r>
        <w:rPr>
          <w:rStyle w:val="11"/>
          <w:rFonts w:hint="eastAsia" w:ascii="微软雅黑" w:hAnsi="微软雅黑" w:eastAsia="微软雅黑" w:cstheme="minorBidi"/>
          <w:sz w:val="22"/>
        </w:rPr>
        <w:fldChar w:fldCharType="end"/>
      </w:r>
    </w:p>
    <w:p w14:paraId="7A136B28">
      <w:pPr>
        <w:pStyle w:val="16"/>
        <w:spacing w:line="360" w:lineRule="auto"/>
        <w:ind w:firstLine="440"/>
        <w:rPr>
          <w:rFonts w:hint="eastAsia" w:ascii="微软雅黑" w:hAnsi="微软雅黑" w:eastAsia="微软雅黑" w:cstheme="minorBidi"/>
          <w:sz w:val="22"/>
        </w:rPr>
      </w:pPr>
      <w:r>
        <w:rPr>
          <w:rFonts w:hint="eastAsia" w:ascii="微软雅黑" w:hAnsi="微软雅黑" w:eastAsia="微软雅黑" w:cstheme="minorBidi"/>
          <w:sz w:val="22"/>
        </w:rPr>
        <w:t>进入身份验证登录界面，输入用户名、密码（统一身份认证账号、密码）如下图：</w:t>
      </w:r>
    </w:p>
    <w:p w14:paraId="5602D68A">
      <w:pPr>
        <w:pStyle w:val="16"/>
        <w:spacing w:line="360" w:lineRule="auto"/>
        <w:ind w:firstLine="0" w:firstLineChars="0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274310" cy="1662430"/>
            <wp:effectExtent l="0" t="0" r="2540" b="0"/>
            <wp:docPr id="998381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8123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5375">
      <w:pPr>
        <w:pStyle w:val="16"/>
        <w:spacing w:line="360" w:lineRule="auto"/>
        <w:ind w:firstLine="0" w:firstLineChars="0"/>
        <w:rPr>
          <w:rFonts w:hint="eastAsia" w:ascii="微软雅黑" w:hAnsi="微软雅黑" w:eastAsia="微软雅黑"/>
        </w:rPr>
      </w:pPr>
    </w:p>
    <w:p w14:paraId="3CA79BDA">
      <w:pPr>
        <w:pStyle w:val="17"/>
        <w:ind w:left="420" w:hanging="420" w:firstLineChars="0"/>
        <w:rPr>
          <w:rFonts w:hint="eastAsia"/>
          <w:b/>
          <w:bCs/>
        </w:rPr>
      </w:pPr>
      <w:r>
        <w:rPr>
          <w:rFonts w:hint="eastAsia"/>
          <w:b/>
          <w:bCs/>
          <w:color w:val="000000"/>
          <w:szCs w:val="21"/>
        </w:rPr>
        <w:t>2.登录成功后即可进入办公系统首页</w:t>
      </w:r>
    </w:p>
    <w:p w14:paraId="0512C6B3">
      <w:pPr>
        <w:rPr>
          <w:rFonts w:hint="eastAsia"/>
        </w:rPr>
      </w:pPr>
      <w:r>
        <w:drawing>
          <wp:inline distT="0" distB="0" distL="0" distR="0">
            <wp:extent cx="5274310" cy="4826635"/>
            <wp:effectExtent l="0" t="0" r="2540" b="0"/>
            <wp:docPr id="654538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3809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85F6">
      <w:pPr>
        <w:pStyle w:val="3"/>
        <w:rPr>
          <w:rFonts w:hint="eastAsia"/>
        </w:rPr>
      </w:pPr>
      <w:r>
        <w:rPr>
          <w:rFonts w:hint="eastAsia"/>
        </w:rPr>
        <w:t>2.2移动端系统访问</w:t>
      </w:r>
    </w:p>
    <w:p w14:paraId="6AE90C66">
      <w:pPr>
        <w:numPr>
          <w:ilvl w:val="0"/>
          <w:numId w:val="4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登录今日校园访问：</w:t>
      </w:r>
    </w:p>
    <w:p w14:paraId="71E912FA">
      <w:pPr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点击服务-公共服务-移动OA（新）即可进入移动OA办公界面</w:t>
      </w:r>
    </w:p>
    <w:p w14:paraId="0BD56F73">
      <w:pPr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在搜索栏中搜索“OA”</w:t>
      </w:r>
    </w:p>
    <w:p w14:paraId="23A64520">
      <w:pPr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《移动OA》为原OA移动版本</w:t>
      </w:r>
    </w:p>
    <w:p w14:paraId="0507522F">
      <w:pPr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《移动OA（新）》为新上线版</w:t>
      </w:r>
    </w:p>
    <w:p w14:paraId="093F1A46">
      <w:pPr>
        <w:rPr>
          <w:rFonts w:hint="eastAsia"/>
          <w:b/>
          <w:bCs/>
        </w:rPr>
      </w:pPr>
      <w:r>
        <w:drawing>
          <wp:inline distT="0" distB="0" distL="0" distR="0">
            <wp:extent cx="2711450" cy="5133975"/>
            <wp:effectExtent l="0" t="0" r="0" b="9525"/>
            <wp:docPr id="1327014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142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0981" cy="51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4910" cy="3200400"/>
            <wp:effectExtent l="0" t="0" r="2540" b="0"/>
            <wp:docPr id="1934592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9265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971" cy="32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5F85">
      <w:pPr>
        <w:rPr>
          <w:rFonts w:hint="eastAsia"/>
          <w:b/>
          <w:bCs/>
        </w:rPr>
      </w:pPr>
      <w:r>
        <w:rPr>
          <w:rFonts w:hint="eastAsia"/>
          <w:b/>
          <w:bCs/>
        </w:rPr>
        <w:t>点击进入后，可见新版OA首页界面</w:t>
      </w:r>
    </w:p>
    <w:p w14:paraId="190C3EDB">
      <w:pPr>
        <w:rPr>
          <w:rFonts w:hint="eastAsia"/>
          <w:b/>
          <w:bCs/>
        </w:rPr>
      </w:pPr>
      <w:r>
        <w:rPr>
          <w:b/>
          <w:bCs/>
        </w:rPr>
        <w:drawing>
          <wp:inline distT="0" distB="0" distL="0" distR="0">
            <wp:extent cx="2139950" cy="4628515"/>
            <wp:effectExtent l="0" t="0" r="0" b="635"/>
            <wp:docPr id="7265123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12345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78" cy="46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2829">
      <w:pPr>
        <w:pStyle w:val="22"/>
        <w:ind w:left="-323" w:firstLine="960"/>
        <w:rPr>
          <w:rFonts w:hint="eastAsia"/>
          <w:sz w:val="40"/>
          <w:szCs w:val="144"/>
        </w:rPr>
      </w:pPr>
      <w:r>
        <w:rPr>
          <w:rFonts w:hint="eastAsia"/>
          <w:sz w:val="40"/>
          <w:szCs w:val="144"/>
        </w:rPr>
        <w:t>PC应用</w:t>
      </w:r>
      <w:r>
        <w:rPr>
          <w:sz w:val="40"/>
          <w:szCs w:val="144"/>
        </w:rPr>
        <w:t>访问说明</w:t>
      </w:r>
    </w:p>
    <w:p w14:paraId="0A96F828">
      <w:pPr>
        <w:pStyle w:val="3"/>
        <w:rPr>
          <w:rFonts w:hint="eastAsia"/>
        </w:rPr>
      </w:pPr>
      <w:r>
        <w:rPr>
          <w:rFonts w:hint="eastAsia"/>
        </w:rPr>
        <w:t>3.1首页页面说明</w:t>
      </w:r>
    </w:p>
    <w:p w14:paraId="5CBABB05">
      <w:pPr>
        <w:rPr>
          <w:rFonts w:hint="eastAsia"/>
        </w:rPr>
      </w:pPr>
      <w:r>
        <w:drawing>
          <wp:inline distT="0" distB="0" distL="0" distR="0">
            <wp:extent cx="5274310" cy="4431030"/>
            <wp:effectExtent l="0" t="0" r="2540" b="7620"/>
            <wp:docPr id="14348814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81445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9A45">
      <w:pPr>
        <w:jc w:val="center"/>
        <w:rPr>
          <w:rFonts w:hint="eastAsia" w:eastAsiaTheme="minorEastAsia"/>
          <w:b/>
          <w:bCs/>
          <w:color w:val="FF0000"/>
          <w:sz w:val="36"/>
          <w:szCs w:val="36"/>
        </w:rPr>
      </w:pPr>
      <w:r>
        <w:rPr>
          <w:rFonts w:hint="eastAsia" w:eastAsiaTheme="minorEastAsia"/>
          <w:b/>
          <w:bCs/>
          <w:color w:val="FF0000"/>
          <w:sz w:val="36"/>
          <w:szCs w:val="36"/>
        </w:rPr>
        <w:t>菜单布局与老版类似，仅风格略微变化</w:t>
      </w:r>
    </w:p>
    <w:p w14:paraId="261BE850">
      <w:pPr>
        <w:rPr>
          <w:rFonts w:hint="eastAsia"/>
        </w:rPr>
      </w:pPr>
    </w:p>
    <w:p w14:paraId="17AC1517">
      <w:pPr>
        <w:pStyle w:val="3"/>
        <w:rPr>
          <w:rFonts w:hint="eastAsia"/>
        </w:rPr>
      </w:pPr>
      <w:r>
        <w:rPr>
          <w:rFonts w:hint="eastAsia"/>
        </w:rPr>
        <w:t>3.2.个人群组</w:t>
      </w:r>
    </w:p>
    <w:p w14:paraId="3FB1DD89">
      <w:pPr>
        <w:ind w:firstLine="440" w:firstLineChars="200"/>
        <w:rPr>
          <w:rFonts w:hint="eastAsia"/>
          <w:szCs w:val="21"/>
        </w:rPr>
      </w:pPr>
      <w:r>
        <w:rPr>
          <w:rFonts w:hint="eastAsia"/>
          <w:szCs w:val="21"/>
        </w:rPr>
        <w:t>用户个人可以进行自己私人用户组的维护，方便在流程审批等选人时候快速的使用自己定义的群组查找人员</w:t>
      </w:r>
    </w:p>
    <w:p w14:paraId="258CA3DE">
      <w:pPr>
        <w:pStyle w:val="17"/>
        <w:ind w:left="860" w:hanging="420" w:firstLineChars="0"/>
        <w:rPr>
          <w:rFonts w:hint="eastAsia"/>
          <w:b/>
        </w:rPr>
      </w:pPr>
      <w:r>
        <w:rPr>
          <w:rFonts w:hint="eastAsia"/>
          <w:b/>
        </w:rPr>
        <w:t>1.菜单选择：个人办公</w:t>
      </w:r>
      <w:r>
        <w:rPr>
          <w:b/>
        </w:rPr>
        <w:t>—</w:t>
      </w:r>
      <w:r>
        <w:rPr>
          <w:rFonts w:hint="eastAsia"/>
          <w:b/>
        </w:rPr>
        <w:t>个人群组</w:t>
      </w:r>
    </w:p>
    <w:p w14:paraId="1F773FFC">
      <w:pPr>
        <w:rPr>
          <w:rFonts w:hint="eastAsia"/>
          <w:b/>
        </w:rPr>
      </w:pPr>
      <w:r>
        <w:rPr>
          <w:rFonts w:hint="eastAsia"/>
          <w:b/>
        </w:rPr>
        <w:t xml:space="preserve">   </w:t>
      </w:r>
      <w:r>
        <w:drawing>
          <wp:inline distT="0" distB="0" distL="0" distR="0">
            <wp:extent cx="3568700" cy="3660775"/>
            <wp:effectExtent l="0" t="0" r="0" b="0"/>
            <wp:docPr id="645785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8537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2864" cy="36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7333">
      <w:pPr>
        <w:pStyle w:val="17"/>
        <w:ind w:left="860" w:hanging="420" w:firstLineChars="0"/>
        <w:rPr>
          <w:rFonts w:hint="eastAsia"/>
          <w:b/>
        </w:rPr>
      </w:pPr>
      <w:r>
        <w:rPr>
          <w:rFonts w:hint="eastAsia"/>
          <w:b/>
        </w:rPr>
        <w:t>2.点击新建按钮，弹出新建个人群组编辑界面，输入群组名称点击保存</w:t>
      </w:r>
    </w:p>
    <w:p w14:paraId="3CF63E66">
      <w:pPr>
        <w:rPr>
          <w:rFonts w:hint="eastAsia"/>
          <w:b/>
        </w:rPr>
      </w:pPr>
      <w:r>
        <w:drawing>
          <wp:inline distT="0" distB="0" distL="0" distR="0">
            <wp:extent cx="5274310" cy="2417445"/>
            <wp:effectExtent l="0" t="0" r="2540" b="1905"/>
            <wp:docPr id="1579118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1833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A4D9">
      <w:pPr>
        <w:rPr>
          <w:rFonts w:hint="eastAsia"/>
          <w:b/>
        </w:rPr>
      </w:pPr>
      <w:r>
        <w:drawing>
          <wp:inline distT="0" distB="0" distL="0" distR="0">
            <wp:extent cx="5274310" cy="1420495"/>
            <wp:effectExtent l="0" t="0" r="2540" b="8255"/>
            <wp:docPr id="416771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718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F1DA">
      <w:pPr>
        <w:pStyle w:val="17"/>
        <w:ind w:left="860" w:hanging="420" w:firstLineChars="0"/>
        <w:rPr>
          <w:rFonts w:hint="eastAsia"/>
          <w:b/>
        </w:rPr>
      </w:pPr>
      <w:r>
        <w:rPr>
          <w:rFonts w:hint="eastAsia"/>
          <w:b/>
        </w:rPr>
        <w:t>3.点击添加人员，选择相关人员，点击确定-保存按钮，完成个人群组的设置</w:t>
      </w:r>
    </w:p>
    <w:p w14:paraId="4EEEE394">
      <w:pPr>
        <w:rPr>
          <w:rFonts w:hint="eastAsia"/>
          <w:b/>
        </w:rPr>
      </w:pPr>
      <w:r>
        <w:drawing>
          <wp:inline distT="0" distB="0" distL="0" distR="0">
            <wp:extent cx="5274310" cy="2718435"/>
            <wp:effectExtent l="0" t="0" r="2540" b="5715"/>
            <wp:docPr id="429139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392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E6BA">
      <w:pPr>
        <w:rPr>
          <w:rFonts w:hint="eastAsia"/>
          <w:b/>
        </w:rPr>
      </w:pPr>
      <w:r>
        <w:rPr>
          <w:rFonts w:hint="eastAsia"/>
          <w:b/>
        </w:rPr>
        <w:t>还可通过选人地址簿的形式，维护自己常用的个人群组</w:t>
      </w:r>
    </w:p>
    <w:p w14:paraId="7388600F">
      <w:pPr>
        <w:rPr>
          <w:rFonts w:hint="eastAsia"/>
          <w:b/>
        </w:rPr>
      </w:pPr>
    </w:p>
    <w:p w14:paraId="44A0EE62">
      <w:pPr>
        <w:pStyle w:val="3"/>
        <w:rPr>
          <w:rFonts w:hint="eastAsia"/>
        </w:rPr>
      </w:pPr>
      <w:r>
        <w:rPr>
          <w:rFonts w:hint="eastAsia"/>
        </w:rPr>
        <w:t>3.3待办已办</w:t>
      </w:r>
    </w:p>
    <w:p w14:paraId="6CE602E3">
      <w:pPr>
        <w:ind w:firstLine="440" w:firstLineChars="200"/>
        <w:rPr>
          <w:rFonts w:hint="eastAsia"/>
          <w:szCs w:val="21"/>
        </w:rPr>
      </w:pPr>
      <w:r>
        <w:rPr>
          <w:rFonts w:hint="eastAsia"/>
          <w:szCs w:val="21"/>
        </w:rPr>
        <w:t>显示针对个人的所需办理的事务，已经完成办理的事务集合。</w:t>
      </w:r>
    </w:p>
    <w:p w14:paraId="4F099DC6">
      <w:pPr>
        <w:pStyle w:val="17"/>
        <w:ind w:left="860" w:hanging="420" w:firstLineChars="0"/>
        <w:rPr>
          <w:rFonts w:hint="eastAsia"/>
          <w:szCs w:val="21"/>
        </w:rPr>
      </w:pPr>
      <w:r>
        <w:rPr>
          <w:rFonts w:hint="eastAsia"/>
          <w:b/>
        </w:rPr>
        <w:t>1.菜单选择：个人办公</w:t>
      </w:r>
      <w:r>
        <w:rPr>
          <w:b/>
        </w:rPr>
        <w:t>—</w:t>
      </w:r>
      <w:r>
        <w:rPr>
          <w:rFonts w:hint="eastAsia"/>
          <w:b/>
        </w:rPr>
        <w:t>待办已办</w:t>
      </w:r>
    </w:p>
    <w:p w14:paraId="3EF69091">
      <w:pPr>
        <w:rPr>
          <w:rFonts w:hint="eastAsia"/>
        </w:rPr>
      </w:pPr>
      <w:r>
        <w:drawing>
          <wp:inline distT="0" distB="0" distL="0" distR="0">
            <wp:extent cx="5274310" cy="3222625"/>
            <wp:effectExtent l="0" t="0" r="2540" b="0"/>
            <wp:docPr id="504789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958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EA23">
      <w:pPr>
        <w:rPr>
          <w:rFonts w:hint="eastAsia"/>
        </w:rPr>
      </w:pPr>
      <w:r>
        <w:drawing>
          <wp:inline distT="0" distB="0" distL="0" distR="0">
            <wp:extent cx="5274310" cy="3439160"/>
            <wp:effectExtent l="0" t="0" r="2540" b="8890"/>
            <wp:docPr id="176699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35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03EE">
      <w:pPr>
        <w:pStyle w:val="17"/>
        <w:numPr>
          <w:ilvl w:val="0"/>
          <w:numId w:val="5"/>
        </w:numPr>
        <w:ind w:left="860" w:hanging="420" w:firstLineChars="0"/>
        <w:rPr>
          <w:rFonts w:hint="eastAsia"/>
          <w:b/>
        </w:rPr>
      </w:pPr>
      <w:r>
        <w:rPr>
          <w:rFonts w:hint="eastAsia"/>
          <w:b/>
        </w:rPr>
        <w:t>在待办已办或应用审批中点击需查看数据，查看流程图及流转记录</w:t>
      </w:r>
    </w:p>
    <w:p w14:paraId="680E7250">
      <w:pPr>
        <w:pStyle w:val="17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386330"/>
            <wp:effectExtent l="0" t="0" r="6350" b="635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5164">
      <w:pPr>
        <w:pStyle w:val="17"/>
        <w:ind w:firstLine="0" w:firstLineChars="0"/>
        <w:rPr>
          <w:rFonts w:hint="eastAsia"/>
        </w:rPr>
      </w:pPr>
    </w:p>
    <w:p w14:paraId="10F31E9B">
      <w:pPr>
        <w:pStyle w:val="17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576195"/>
            <wp:effectExtent l="0" t="0" r="2540" b="0"/>
            <wp:docPr id="1133735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3599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D967">
      <w:pPr>
        <w:pStyle w:val="3"/>
        <w:rPr>
          <w:rFonts w:hint="eastAsia"/>
        </w:rPr>
      </w:pPr>
      <w:r>
        <w:rPr>
          <w:rFonts w:hint="eastAsia"/>
        </w:rPr>
        <w:t>3.4站内信</w:t>
      </w:r>
    </w:p>
    <w:p w14:paraId="7B462DFD">
      <w:pPr>
        <w:ind w:firstLine="480"/>
        <w:rPr>
          <w:rFonts w:hint="eastAsia"/>
        </w:rPr>
      </w:pPr>
      <w:r>
        <w:rPr>
          <w:rFonts w:hint="eastAsia"/>
        </w:rPr>
        <w:t>实现党政办公系统内人员进行信息发送、回复、转发，实现内部人员之间的信息沟通协作。并且可作为事务办理的一种消息通道，供用户自选，用于接收系统内的消息提醒。</w:t>
      </w:r>
    </w:p>
    <w:p w14:paraId="4E5F407D">
      <w:pPr>
        <w:pStyle w:val="17"/>
        <w:ind w:left="860" w:hanging="420" w:firstLineChars="0"/>
        <w:rPr>
          <w:rFonts w:hint="eastAsia"/>
        </w:rPr>
      </w:pPr>
      <w:r>
        <w:rPr>
          <w:rFonts w:hint="eastAsia" w:ascii="宋体" w:hAnsi="宋体"/>
          <w:b/>
          <w:bCs/>
          <w:szCs w:val="21"/>
        </w:rPr>
        <w:t>1.</w:t>
      </w:r>
      <w:r>
        <w:rPr>
          <w:rFonts w:ascii="宋体" w:hAnsi="宋体"/>
          <w:b/>
          <w:bCs/>
          <w:szCs w:val="21"/>
        </w:rPr>
        <w:t>菜单选择</w:t>
      </w:r>
      <w:r>
        <w:rPr>
          <w:rFonts w:hint="eastAsia" w:ascii="宋体" w:hAnsi="宋体"/>
          <w:b/>
          <w:bCs/>
          <w:szCs w:val="21"/>
        </w:rPr>
        <w:t>：个人办公</w:t>
      </w:r>
      <w:r>
        <w:rPr>
          <w:rFonts w:ascii="宋体" w:hAnsi="宋体"/>
          <w:b/>
          <w:bCs/>
          <w:szCs w:val="21"/>
        </w:rPr>
        <w:t>—</w:t>
      </w:r>
      <w:r>
        <w:rPr>
          <w:rFonts w:hint="eastAsia" w:ascii="宋体" w:hAnsi="宋体"/>
          <w:b/>
          <w:bCs/>
          <w:szCs w:val="21"/>
        </w:rPr>
        <w:t>站内信，或点击首页右上角邮箱图标</w:t>
      </w:r>
    </w:p>
    <w:p w14:paraId="3739E5BC">
      <w:pPr>
        <w:pStyle w:val="17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453515"/>
            <wp:effectExtent l="0" t="0" r="2540" b="0"/>
            <wp:docPr id="1183634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3455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2D78">
      <w:pPr>
        <w:pStyle w:val="17"/>
        <w:ind w:left="860" w:hanging="420" w:firstLineChars="0"/>
        <w:rPr>
          <w:rFonts w:hint="eastAsia" w:ascii="宋体" w:hAnsi="宋体"/>
          <w:b/>
          <w:bCs/>
          <w:szCs w:val="21"/>
        </w:rPr>
      </w:pPr>
      <w:bookmarkStart w:id="2" w:name="_Toc44515306"/>
      <w:bookmarkStart w:id="3" w:name="_Toc1987238854"/>
      <w:r>
        <w:rPr>
          <w:rFonts w:hint="eastAsia" w:ascii="宋体" w:hAnsi="宋体"/>
          <w:b/>
          <w:bCs/>
          <w:szCs w:val="21"/>
        </w:rPr>
        <w:t>2.写信</w:t>
      </w:r>
      <w:bookmarkEnd w:id="2"/>
      <w:bookmarkEnd w:id="3"/>
    </w:p>
    <w:p w14:paraId="03F03C13">
      <w:pPr>
        <w:ind w:firstLine="480"/>
        <w:rPr>
          <w:rFonts w:hint="eastAsia"/>
        </w:rPr>
      </w:pPr>
      <w:r>
        <w:rPr>
          <w:rFonts w:hint="eastAsia"/>
        </w:rPr>
        <w:t>填写信件信息，根据需要发送相关人员。</w:t>
      </w:r>
    </w:p>
    <w:p w14:paraId="323D5276">
      <w:pPr>
        <w:rPr>
          <w:rFonts w:hint="eastAsia"/>
        </w:rPr>
      </w:pPr>
      <w:r>
        <w:drawing>
          <wp:inline distT="0" distB="0" distL="114300" distR="114300">
            <wp:extent cx="5267325" cy="2742565"/>
            <wp:effectExtent l="0" t="0" r="5715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913D20">
      <w:pPr>
        <w:pStyle w:val="17"/>
        <w:ind w:left="860" w:hanging="420" w:firstLineChars="0"/>
        <w:rPr>
          <w:rFonts w:hint="eastAsia" w:ascii="宋体" w:hAnsi="宋体"/>
          <w:b/>
          <w:bCs/>
          <w:szCs w:val="21"/>
        </w:rPr>
      </w:pPr>
      <w:bookmarkStart w:id="4" w:name="_Toc1857741034"/>
      <w:bookmarkStart w:id="5" w:name="_Toc44515307"/>
      <w:r>
        <w:rPr>
          <w:rFonts w:hint="eastAsia" w:ascii="宋体" w:hAnsi="宋体"/>
          <w:b/>
          <w:bCs/>
          <w:szCs w:val="21"/>
        </w:rPr>
        <w:t>3.收信箱</w:t>
      </w:r>
      <w:bookmarkEnd w:id="4"/>
      <w:bookmarkEnd w:id="5"/>
    </w:p>
    <w:p w14:paraId="5FE2E0AC">
      <w:pPr>
        <w:ind w:firstLine="480"/>
        <w:rPr>
          <w:rFonts w:hint="eastAsia"/>
        </w:rPr>
      </w:pPr>
      <w:r>
        <w:rPr>
          <w:rFonts w:hint="eastAsia"/>
        </w:rPr>
        <w:t>统一展现本人所有接收的信件，针对未读信件提供数字角标提示，用户可自行查看、回复、转发等。</w:t>
      </w:r>
    </w:p>
    <w:p w14:paraId="1DD1FDA1">
      <w:pPr>
        <w:rPr>
          <w:rFonts w:hint="eastAsia"/>
        </w:rPr>
      </w:pPr>
      <w:r>
        <w:drawing>
          <wp:inline distT="0" distB="0" distL="114300" distR="114300">
            <wp:extent cx="5276850" cy="3554730"/>
            <wp:effectExtent l="0" t="0" r="11430" b="11430"/>
            <wp:docPr id="11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FBC67C">
      <w:pPr>
        <w:pStyle w:val="17"/>
        <w:ind w:left="860" w:hanging="420" w:firstLineChars="0"/>
        <w:rPr>
          <w:rFonts w:hint="eastAsia" w:ascii="宋体" w:hAnsi="宋体"/>
          <w:b/>
          <w:bCs/>
          <w:szCs w:val="21"/>
        </w:rPr>
      </w:pPr>
      <w:bookmarkStart w:id="6" w:name="_Toc44515309"/>
      <w:bookmarkStart w:id="7" w:name="_Toc1192194004"/>
      <w:r>
        <w:rPr>
          <w:rFonts w:hint="eastAsia" w:ascii="宋体" w:hAnsi="宋体"/>
          <w:b/>
          <w:bCs/>
          <w:szCs w:val="21"/>
        </w:rPr>
        <w:t>4.发信箱</w:t>
      </w:r>
      <w:bookmarkEnd w:id="6"/>
      <w:bookmarkEnd w:id="7"/>
    </w:p>
    <w:p w14:paraId="24FA30FB">
      <w:pPr>
        <w:ind w:firstLine="480"/>
        <w:rPr>
          <w:rFonts w:hint="eastAsia"/>
        </w:rPr>
      </w:pPr>
      <w:r>
        <w:rPr>
          <w:rFonts w:hint="eastAsia"/>
        </w:rPr>
        <w:t>显示本人所有已发送的信件数据，支持信件再次编辑、撤回、转发等。</w:t>
      </w:r>
    </w:p>
    <w:p w14:paraId="2D35CDEC">
      <w:pPr>
        <w:rPr>
          <w:rFonts w:hint="eastAsia"/>
        </w:rPr>
      </w:pPr>
      <w:r>
        <w:drawing>
          <wp:inline distT="0" distB="0" distL="114300" distR="114300">
            <wp:extent cx="5267325" cy="2743200"/>
            <wp:effectExtent l="0" t="0" r="5715" b="0"/>
            <wp:docPr id="43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29AE2E">
      <w:pPr>
        <w:rPr>
          <w:rFonts w:hint="eastAsia"/>
        </w:rPr>
      </w:pPr>
      <w:r>
        <w:drawing>
          <wp:inline distT="0" distB="0" distL="114300" distR="114300">
            <wp:extent cx="5267325" cy="2400300"/>
            <wp:effectExtent l="0" t="0" r="5715" b="7620"/>
            <wp:docPr id="126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BCD36">
      <w:pPr>
        <w:pStyle w:val="3"/>
        <w:rPr>
          <w:rFonts w:hint="eastAsia"/>
        </w:rPr>
      </w:pPr>
      <w:r>
        <w:rPr>
          <w:rFonts w:hint="eastAsia"/>
        </w:rPr>
        <w:t>3.5常用下载</w:t>
      </w:r>
    </w:p>
    <w:p w14:paraId="35CC7ACB">
      <w:pPr>
        <w:pStyle w:val="17"/>
        <w:ind w:left="860" w:hanging="42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查看、下载常用文件。</w:t>
      </w:r>
    </w:p>
    <w:p w14:paraId="2DB5B8C1">
      <w:pPr>
        <w:rPr>
          <w:rFonts w:hint="eastAsia"/>
        </w:rPr>
      </w:pPr>
      <w:r>
        <w:drawing>
          <wp:inline distT="0" distB="0" distL="0" distR="0">
            <wp:extent cx="2328545" cy="2897505"/>
            <wp:effectExtent l="0" t="0" r="0" b="0"/>
            <wp:docPr id="1753785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502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6261" cy="290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F967">
      <w:pPr>
        <w:rPr>
          <w:rFonts w:hint="eastAsia"/>
        </w:rPr>
      </w:pPr>
    </w:p>
    <w:p w14:paraId="2F7D8DEC">
      <w:pPr>
        <w:pStyle w:val="3"/>
        <w:rPr>
          <w:rFonts w:hint="eastAsia"/>
        </w:rPr>
      </w:pPr>
      <w:r>
        <w:rPr>
          <w:rFonts w:hint="eastAsia"/>
        </w:rPr>
        <w:t>3.6学校发文</w:t>
      </w:r>
    </w:p>
    <w:p w14:paraId="7EBA527C">
      <w:pPr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实现发文的网上拟稿、部门领导审核、秘书转办</w:t>
      </w:r>
      <w:r>
        <w:rPr>
          <w:rFonts w:ascii="宋体" w:hAnsi="宋体"/>
          <w:szCs w:val="21"/>
        </w:rPr>
        <w:t>、</w:t>
      </w:r>
      <w:r>
        <w:rPr>
          <w:rFonts w:hint="eastAsia" w:ascii="宋体" w:hAnsi="宋体"/>
          <w:szCs w:val="21"/>
        </w:rPr>
        <w:t>跨部门审稿、领导签发、编号、成文、发布校对等功能；</w:t>
      </w:r>
    </w:p>
    <w:p w14:paraId="4CFB6D00">
      <w:pPr>
        <w:pStyle w:val="17"/>
        <w:ind w:left="860" w:hanging="420" w:firstLineChars="0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1.</w:t>
      </w:r>
      <w:r>
        <w:rPr>
          <w:rFonts w:ascii="宋体" w:hAnsi="宋体"/>
          <w:b/>
          <w:bCs/>
          <w:szCs w:val="21"/>
        </w:rPr>
        <w:t>菜单选择</w:t>
      </w:r>
      <w:r>
        <w:rPr>
          <w:rFonts w:hint="eastAsia" w:ascii="宋体" w:hAnsi="宋体"/>
          <w:b/>
          <w:bCs/>
          <w:szCs w:val="21"/>
        </w:rPr>
        <w:t>：公文管理</w:t>
      </w:r>
      <w:r>
        <w:rPr>
          <w:rFonts w:ascii="宋体" w:hAnsi="宋体"/>
          <w:b/>
          <w:bCs/>
          <w:szCs w:val="21"/>
        </w:rPr>
        <w:t>—</w:t>
      </w:r>
      <w:r>
        <w:rPr>
          <w:rFonts w:hint="eastAsia" w:ascii="宋体" w:hAnsi="宋体"/>
          <w:b/>
          <w:bCs/>
          <w:szCs w:val="21"/>
        </w:rPr>
        <w:t>发文管理</w:t>
      </w:r>
    </w:p>
    <w:p w14:paraId="6491644D">
      <w:pPr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2190750"/>
            <wp:effectExtent l="0" t="0" r="2540" b="0"/>
            <wp:docPr id="802872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299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CCDE">
      <w:pPr>
        <w:rPr>
          <w:rFonts w:hint="eastAsia"/>
          <w:b/>
        </w:rPr>
      </w:pPr>
    </w:p>
    <w:p w14:paraId="7DDD33E4">
      <w:pPr>
        <w:pStyle w:val="17"/>
        <w:ind w:left="360" w:hanging="360" w:firstLineChars="0"/>
        <w:rPr>
          <w:rFonts w:hint="eastAsia"/>
          <w:b/>
        </w:rPr>
      </w:pPr>
      <w:r>
        <w:rPr>
          <w:rFonts w:hint="eastAsia"/>
          <w:b/>
        </w:rPr>
        <w:t>2</w:t>
      </w:r>
      <w:r>
        <w:rPr>
          <w:b/>
        </w:rPr>
        <w:t>.</w:t>
      </w:r>
      <w:r>
        <w:rPr>
          <w:rFonts w:hint="eastAsia"/>
          <w:b/>
        </w:rPr>
        <w:t>发文管理步骤：</w:t>
      </w:r>
    </w:p>
    <w:p w14:paraId="2A1CAA77">
      <w:pPr>
        <w:pStyle w:val="17"/>
        <w:ind w:left="720" w:hanging="720" w:firstLineChars="0"/>
        <w:rPr>
          <w:rFonts w:hint="eastAsia"/>
          <w:b/>
        </w:rPr>
      </w:pPr>
      <w:r>
        <w:rPr>
          <w:b/>
        </w:rPr>
        <w:t>（1）</w:t>
      </w:r>
      <w:r>
        <w:rPr>
          <w:rFonts w:hint="eastAsia"/>
          <w:b/>
        </w:rPr>
        <w:t>点击发起按钮，选择发文类型</w:t>
      </w:r>
    </w:p>
    <w:p w14:paraId="28C45BCB">
      <w:pPr>
        <w:pStyle w:val="17"/>
        <w:ind w:left="720" w:hanging="720" w:firstLineChars="0"/>
        <w:rPr>
          <w:rFonts w:hint="eastAsia"/>
        </w:rPr>
      </w:pPr>
      <w:r>
        <w:drawing>
          <wp:inline distT="0" distB="0" distL="0" distR="0">
            <wp:extent cx="5274310" cy="1251585"/>
            <wp:effectExtent l="0" t="0" r="2540" b="5715"/>
            <wp:docPr id="120077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80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250F">
      <w:pPr>
        <w:pStyle w:val="17"/>
        <w:ind w:left="720" w:hanging="720" w:firstLineChars="0"/>
        <w:rPr>
          <w:rFonts w:hint="eastAsia"/>
          <w:b/>
        </w:rPr>
      </w:pPr>
      <w:r>
        <w:rPr>
          <w:b/>
        </w:rPr>
        <w:t>（2）</w:t>
      </w:r>
      <w:r>
        <w:rPr>
          <w:rFonts w:hint="eastAsia"/>
          <w:b/>
        </w:rPr>
        <w:t>填写发文表单相关信息；点击提交按钮 如下图：</w:t>
      </w:r>
    </w:p>
    <w:p w14:paraId="7B86875D">
      <w:pPr>
        <w:rPr>
          <w:rFonts w:hint="eastAsia"/>
        </w:rPr>
      </w:pPr>
      <w:r>
        <w:rPr>
          <w:rFonts w:hint="eastAsia"/>
          <w:b/>
        </w:rPr>
        <w:t>注：编辑正文 点击下载按钮（需用office、wps编辑正文，需安装此控件）</w:t>
      </w:r>
    </w:p>
    <w:p w14:paraId="7303EF98">
      <w:pPr>
        <w:rPr>
          <w:rFonts w:hint="eastAsia"/>
          <w:b/>
        </w:rPr>
      </w:pPr>
      <w:r>
        <w:drawing>
          <wp:inline distT="0" distB="0" distL="0" distR="0">
            <wp:extent cx="5274310" cy="4337050"/>
            <wp:effectExtent l="0" t="0" r="2540" b="6350"/>
            <wp:docPr id="641556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621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A150">
      <w:pPr>
        <w:rPr>
          <w:rFonts w:hint="eastAsia"/>
          <w:b/>
        </w:rPr>
      </w:pPr>
      <w:r>
        <w:rPr>
          <w:rFonts w:hint="eastAsia"/>
          <w:b/>
        </w:rPr>
        <w:t>编辑正文：完成相关的正文编辑后，点击保存并关闭  如下图：</w:t>
      </w:r>
    </w:p>
    <w:p w14:paraId="4E386715">
      <w:pPr>
        <w:rPr>
          <w:rFonts w:hint="eastAsia"/>
          <w:b/>
        </w:rPr>
      </w:pPr>
      <w:r>
        <w:drawing>
          <wp:inline distT="0" distB="0" distL="0" distR="0">
            <wp:extent cx="5274310" cy="331724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758E">
      <w:pPr>
        <w:rPr>
          <w:rFonts w:hint="eastAsia"/>
          <w:b/>
        </w:rPr>
      </w:pPr>
    </w:p>
    <w:p w14:paraId="38C5BC20">
      <w:pPr>
        <w:rPr>
          <w:rFonts w:hint="eastAsia"/>
          <w:b/>
        </w:rPr>
      </w:pPr>
      <w:r>
        <w:drawing>
          <wp:inline distT="0" distB="0" distL="0" distR="0">
            <wp:extent cx="5274310" cy="1086485"/>
            <wp:effectExtent l="0" t="0" r="2540" b="0"/>
            <wp:docPr id="607396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9672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t="57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F4EA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如部门负责人有多个时，可以通过下拉选项选择对应的人员。</w:t>
      </w:r>
    </w:p>
    <w:p w14:paraId="62966DF4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（3）待办查看</w:t>
      </w:r>
    </w:p>
    <w:p w14:paraId="40050547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办理人可以在应用待办或首页待办中处理相关的业务；直至流程结束；</w:t>
      </w:r>
    </w:p>
    <w:p w14:paraId="1BA85441">
      <w:pPr>
        <w:rPr>
          <w:rFonts w:hint="eastAsia"/>
        </w:rPr>
      </w:pPr>
      <w:r>
        <w:drawing>
          <wp:inline distT="0" distB="0" distL="0" distR="0">
            <wp:extent cx="5274310" cy="1384935"/>
            <wp:effectExtent l="0" t="0" r="2540" b="5715"/>
            <wp:docPr id="1404788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8816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E9DE">
      <w:pPr>
        <w:rPr>
          <w:rFonts w:hint="eastAsia"/>
          <w:b/>
        </w:rPr>
      </w:pPr>
      <w:r>
        <w:rPr>
          <w:rFonts w:hint="eastAsia"/>
        </w:rPr>
        <w:t xml:space="preserve"> </w:t>
      </w:r>
      <w:r>
        <w:rPr>
          <w:rFonts w:hint="eastAsia"/>
          <w:b/>
        </w:rPr>
        <w:t>流程办结后，可以在办结中查看：如下图</w:t>
      </w:r>
    </w:p>
    <w:p w14:paraId="5C0032D5">
      <w:pPr>
        <w:ind w:firstLine="440" w:firstLineChars="200"/>
        <w:rPr>
          <w:rFonts w:hint="eastAsia"/>
          <w:b/>
        </w:rPr>
      </w:pPr>
      <w:r>
        <w:drawing>
          <wp:inline distT="0" distB="0" distL="0" distR="0">
            <wp:extent cx="5274310" cy="1539240"/>
            <wp:effectExtent l="0" t="0" r="2540" b="3810"/>
            <wp:docPr id="177743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396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0B8B">
      <w:pPr>
        <w:rPr>
          <w:rFonts w:hint="eastAsia"/>
          <w:b/>
        </w:rPr>
      </w:pPr>
      <w:r>
        <w:rPr>
          <w:rFonts w:hint="eastAsia"/>
          <w:b/>
        </w:rPr>
        <w:t>（5）根据发布范围在校级文件页面查看，或直接在首页卡片点击需查看文件标题，点击即预览</w:t>
      </w:r>
    </w:p>
    <w:p w14:paraId="52E69821">
      <w:pPr>
        <w:rPr>
          <w:rFonts w:hint="eastAsia"/>
        </w:rPr>
      </w:pPr>
      <w:r>
        <w:drawing>
          <wp:inline distT="0" distB="0" distL="0" distR="0">
            <wp:extent cx="5274310" cy="3594100"/>
            <wp:effectExtent l="0" t="0" r="2540" b="6350"/>
            <wp:docPr id="1425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5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09A4">
      <w:pPr>
        <w:rPr>
          <w:rFonts w:hint="eastAsia"/>
        </w:rPr>
      </w:pPr>
      <w:r>
        <w:rPr>
          <w:rFonts w:hint="eastAsia"/>
        </w:rPr>
        <w:t>点击更多则可以进入校级文件菜单列表</w:t>
      </w:r>
    </w:p>
    <w:p w14:paraId="3544900C">
      <w:pPr>
        <w:rPr>
          <w:rFonts w:hint="eastAsia"/>
        </w:rPr>
      </w:pPr>
      <w:r>
        <w:drawing>
          <wp:inline distT="0" distB="0" distL="0" distR="0">
            <wp:extent cx="5274310" cy="1511300"/>
            <wp:effectExtent l="0" t="0" r="2540" b="0"/>
            <wp:docPr id="213607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10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E56B">
      <w:pPr>
        <w:rPr>
          <w:rFonts w:hint="eastAsia"/>
        </w:rPr>
      </w:pPr>
    </w:p>
    <w:p w14:paraId="7AABF12A">
      <w:pPr>
        <w:pStyle w:val="3"/>
        <w:rPr>
          <w:rFonts w:hint="eastAsia"/>
        </w:rPr>
      </w:pPr>
      <w:r>
        <w:rPr>
          <w:rFonts w:hint="eastAsia"/>
        </w:rPr>
        <w:t>3.7学校收文</w:t>
      </w:r>
    </w:p>
    <w:p w14:paraId="314FDA69">
      <w:pPr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收文管理主要对学校收到的外来文件进行收文办公室登记、主任拟办、校领导阅批、下发、归档、查询等功能；</w:t>
      </w:r>
    </w:p>
    <w:p w14:paraId="5F7AB540"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 xml:space="preserve">1.菜单选择：公文管理 </w:t>
      </w:r>
      <w:r>
        <w:rPr>
          <w:rFonts w:ascii="宋体" w:hAnsi="宋体"/>
          <w:b/>
          <w:szCs w:val="21"/>
        </w:rPr>
        <w:t>–</w:t>
      </w:r>
      <w:r>
        <w:rPr>
          <w:rFonts w:hint="eastAsia" w:ascii="宋体" w:hAnsi="宋体"/>
          <w:b/>
          <w:szCs w:val="21"/>
        </w:rPr>
        <w:t>收文管理</w:t>
      </w:r>
    </w:p>
    <w:p w14:paraId="0188408E">
      <w:pPr>
        <w:rPr>
          <w:rFonts w:hint="eastAsia" w:ascii="宋体" w:hAnsi="宋体"/>
          <w:b/>
          <w:szCs w:val="21"/>
        </w:rPr>
      </w:pPr>
      <w:r>
        <w:drawing>
          <wp:inline distT="0" distB="0" distL="0" distR="0">
            <wp:extent cx="5274310" cy="2152650"/>
            <wp:effectExtent l="0" t="0" r="2540" b="0"/>
            <wp:docPr id="683529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2937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3511">
      <w:pPr>
        <w:rPr>
          <w:rFonts w:hint="eastAsia"/>
          <w:b/>
        </w:rPr>
      </w:pPr>
    </w:p>
    <w:p w14:paraId="251BE88F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待办查看</w:t>
      </w:r>
    </w:p>
    <w:p w14:paraId="3AB5714B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办理人可以在待办中处理相关的业务；直至流程结束；</w:t>
      </w:r>
    </w:p>
    <w:p w14:paraId="5DC81EB0">
      <w:pPr>
        <w:rPr>
          <w:rFonts w:hint="eastAsia"/>
          <w:b/>
        </w:rPr>
      </w:pPr>
      <w:r>
        <w:drawing>
          <wp:inline distT="0" distB="0" distL="0" distR="0">
            <wp:extent cx="5274310" cy="1483995"/>
            <wp:effectExtent l="0" t="0" r="2540" b="1905"/>
            <wp:docPr id="580801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0110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3AF9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流程办结后，可以在办结中查看：如下图</w:t>
      </w:r>
    </w:p>
    <w:p w14:paraId="11395806">
      <w:pPr>
        <w:ind w:left="105"/>
        <w:rPr>
          <w:rFonts w:hint="eastAsia"/>
        </w:rPr>
      </w:pPr>
      <w:r>
        <w:drawing>
          <wp:inline distT="0" distB="0" distL="0" distR="0">
            <wp:extent cx="5274310" cy="1299845"/>
            <wp:effectExtent l="0" t="0" r="2540" b="0"/>
            <wp:docPr id="1355411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1150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5B96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部门秘书办理时，可以根据需要，选择内部传阅，发送给部门人员查看</w:t>
      </w:r>
    </w:p>
    <w:p w14:paraId="5994913B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先选择收阅人，发送后，再回到审批栏，进行提交办理</w:t>
      </w:r>
    </w:p>
    <w:p w14:paraId="39467E67">
      <w:pPr>
        <w:ind w:left="105"/>
        <w:rPr>
          <w:rFonts w:hint="eastAsia"/>
        </w:rPr>
      </w:pPr>
      <w:r>
        <w:drawing>
          <wp:inline distT="0" distB="0" distL="0" distR="0">
            <wp:extent cx="5274310" cy="1889125"/>
            <wp:effectExtent l="0" t="0" r="2540" b="0"/>
            <wp:docPr id="2081064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6475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E789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完成内部传阅后，进行下一步骤提交。</w:t>
      </w:r>
    </w:p>
    <w:p w14:paraId="0E8E73CB">
      <w:pPr>
        <w:ind w:left="105"/>
      </w:pPr>
      <w:r>
        <w:drawing>
          <wp:inline distT="0" distB="0" distL="0" distR="0">
            <wp:extent cx="5274310" cy="1927860"/>
            <wp:effectExtent l="0" t="0" r="2540" b="0"/>
            <wp:docPr id="1736771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7190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419F">
      <w:pPr>
        <w:pStyle w:val="3"/>
        <w:rPr>
          <w:rFonts w:hint="eastAsia"/>
        </w:rPr>
      </w:pPr>
      <w:r>
        <w:rPr>
          <w:rFonts w:hint="eastAsia"/>
        </w:rPr>
        <w:t>3.8请示报告</w:t>
      </w:r>
    </w:p>
    <w:p w14:paraId="04441B6B">
      <w:pPr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请示报告主要对学校内部需要请示或报告的事项进行发起，审核，会签，阅示，归档，查询等功能；</w:t>
      </w:r>
    </w:p>
    <w:p w14:paraId="3ECC347A"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 xml:space="preserve">1.菜单选择：日常办公 </w:t>
      </w:r>
      <w:r>
        <w:rPr>
          <w:rFonts w:ascii="宋体" w:hAnsi="宋体"/>
          <w:b/>
          <w:szCs w:val="21"/>
        </w:rPr>
        <w:t>–</w:t>
      </w:r>
      <w:r>
        <w:rPr>
          <w:rFonts w:hint="eastAsia" w:ascii="宋体" w:hAnsi="宋体"/>
          <w:b/>
          <w:szCs w:val="21"/>
        </w:rPr>
        <w:t>请示报告</w:t>
      </w:r>
    </w:p>
    <w:p w14:paraId="3B06099B">
      <w:pPr>
        <w:rPr>
          <w:rFonts w:hint="eastAsia" w:ascii="宋体" w:hAnsi="宋体"/>
          <w:b/>
          <w:szCs w:val="21"/>
        </w:rPr>
      </w:pPr>
      <w:r>
        <w:drawing>
          <wp:inline distT="0" distB="0" distL="0" distR="0">
            <wp:extent cx="3429635" cy="2190750"/>
            <wp:effectExtent l="0" t="0" r="0" b="0"/>
            <wp:docPr id="1134722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2234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7791" cy="21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5E9D">
      <w:pPr>
        <w:pStyle w:val="17"/>
        <w:numPr>
          <w:ilvl w:val="0"/>
          <w:numId w:val="6"/>
        </w:numPr>
        <w:ind w:firstLineChars="0"/>
        <w:rPr>
          <w:b/>
        </w:rPr>
      </w:pPr>
      <w:r>
        <w:rPr>
          <w:b/>
        </w:rPr>
        <w:t>发起请示报告</w:t>
      </w:r>
    </w:p>
    <w:p w14:paraId="1706AEAF">
      <w:pPr>
        <w:ind w:left="440"/>
        <w:rPr>
          <w:b/>
        </w:rPr>
      </w:pPr>
      <w:r>
        <w:rPr>
          <w:b/>
        </w:rPr>
        <w:t>发起人通过审批页面的发起按钮，进行请示报告发起</w:t>
      </w:r>
    </w:p>
    <w:p w14:paraId="2643F400">
      <w:pPr>
        <w:ind w:left="440"/>
        <w:rPr>
          <w:b/>
        </w:rPr>
      </w:pPr>
      <w:r>
        <w:drawing>
          <wp:inline distT="0" distB="0" distL="0" distR="0">
            <wp:extent cx="5274310" cy="1188720"/>
            <wp:effectExtent l="0" t="0" r="2540" b="0"/>
            <wp:docPr id="1517274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7433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6D13">
      <w:pPr>
        <w:ind w:left="440"/>
        <w:rPr>
          <w:b/>
        </w:rPr>
      </w:pPr>
      <w:r>
        <w:rPr>
          <w:b/>
        </w:rPr>
        <w:t>填写请示报告单后，进行提交</w:t>
      </w:r>
    </w:p>
    <w:p w14:paraId="716A2985">
      <w:pPr>
        <w:ind w:left="440"/>
        <w:rPr>
          <w:rFonts w:hint="eastAsia"/>
          <w:b/>
        </w:rPr>
      </w:pPr>
      <w:r>
        <w:drawing>
          <wp:inline distT="0" distB="0" distL="0" distR="0">
            <wp:extent cx="5274310" cy="3492500"/>
            <wp:effectExtent l="0" t="0" r="2540" b="0"/>
            <wp:docPr id="1421551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5178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3DB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（2）待办查看</w:t>
      </w:r>
    </w:p>
    <w:p w14:paraId="6AFB3998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办理人可以在待办中处理相关的业务；直至流程结束；</w:t>
      </w:r>
    </w:p>
    <w:p w14:paraId="42DD6F89">
      <w:pPr>
        <w:rPr>
          <w:b/>
        </w:rPr>
      </w:pPr>
      <w:r>
        <w:drawing>
          <wp:inline distT="0" distB="0" distL="0" distR="0">
            <wp:extent cx="5274310" cy="1113155"/>
            <wp:effectExtent l="0" t="0" r="2540" b="0"/>
            <wp:docPr id="529594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9471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048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（3</w:t>
      </w:r>
      <w:r>
        <w:rPr>
          <w:b/>
        </w:rPr>
        <w:t>）办结查看</w:t>
      </w:r>
    </w:p>
    <w:p w14:paraId="440CA33A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流程办结后，可以在办结中查看：如下图</w:t>
      </w:r>
    </w:p>
    <w:p w14:paraId="24195957">
      <w:pPr>
        <w:ind w:left="105"/>
        <w:rPr>
          <w:rFonts w:hint="eastAsia"/>
        </w:rPr>
      </w:pPr>
      <w:r>
        <w:drawing>
          <wp:inline distT="0" distB="0" distL="0" distR="0">
            <wp:extent cx="5274310" cy="1196340"/>
            <wp:effectExtent l="0" t="0" r="2540" b="3810"/>
            <wp:docPr id="1406511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1163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F1D7">
      <w:pPr>
        <w:pStyle w:val="3"/>
        <w:rPr>
          <w:rFonts w:hint="eastAsia"/>
        </w:rPr>
      </w:pPr>
      <w:r>
        <w:rPr>
          <w:rFonts w:hint="eastAsia"/>
        </w:rPr>
        <w:t>3.9会议室预定</w:t>
      </w:r>
    </w:p>
    <w:p w14:paraId="47D67655">
      <w:pPr>
        <w:ind w:firstLine="440" w:firstLineChars="200"/>
        <w:rPr>
          <w:rFonts w:hint="eastAsia"/>
        </w:rPr>
      </w:pPr>
      <w:r>
        <w:rPr>
          <w:rFonts w:hint="eastAsia" w:ascii="宋体" w:hAnsi="宋体"/>
          <w:szCs w:val="21"/>
        </w:rPr>
        <w:t>用于预定会议室、上报每日日程</w:t>
      </w:r>
    </w:p>
    <w:p w14:paraId="098681AF">
      <w:pPr>
        <w:numPr>
          <w:ilvl w:val="0"/>
          <w:numId w:val="7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 xml:space="preserve">菜单选择：会议管理 </w:t>
      </w:r>
      <w:r>
        <w:rPr>
          <w:rFonts w:ascii="宋体" w:hAnsi="宋体"/>
          <w:b/>
          <w:szCs w:val="21"/>
        </w:rPr>
        <w:t>–</w:t>
      </w:r>
      <w:r>
        <w:rPr>
          <w:rFonts w:hint="eastAsia" w:ascii="宋体" w:hAnsi="宋体"/>
          <w:b/>
          <w:szCs w:val="21"/>
        </w:rPr>
        <w:t>会议申请</w:t>
      </w:r>
    </w:p>
    <w:p w14:paraId="0829D225">
      <w:pPr>
        <w:rPr>
          <w:rFonts w:hint="eastAsia"/>
          <w:b/>
        </w:rPr>
      </w:pPr>
      <w:r>
        <w:drawing>
          <wp:inline distT="0" distB="0" distL="0" distR="0">
            <wp:extent cx="5274310" cy="1619885"/>
            <wp:effectExtent l="0" t="0" r="2540" b="0"/>
            <wp:docPr id="1799880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8030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986D">
      <w:pPr>
        <w:pStyle w:val="17"/>
        <w:ind w:left="360" w:firstLine="0" w:firstLineChars="0"/>
        <w:rPr>
          <w:rFonts w:hint="eastAsia"/>
          <w:b/>
        </w:rPr>
      </w:pPr>
      <w:r>
        <w:rPr>
          <w:rFonts w:hint="eastAsia"/>
          <w:b/>
        </w:rPr>
        <w:t>2.会议室预定流程步骤：</w:t>
      </w:r>
    </w:p>
    <w:p w14:paraId="1F377646">
      <w:pPr>
        <w:pStyle w:val="17"/>
        <w:ind w:left="825" w:hanging="720" w:firstLineChars="0"/>
        <w:rPr>
          <w:rFonts w:hint="eastAsia"/>
          <w:b/>
        </w:rPr>
      </w:pPr>
      <w:r>
        <w:rPr>
          <w:b/>
        </w:rPr>
        <w:t>（1）</w:t>
      </w:r>
      <w:r>
        <w:rPr>
          <w:rFonts w:hint="eastAsia"/>
          <w:b/>
        </w:rPr>
        <w:t>点击发起或者直接通过看板进行快速申请</w:t>
      </w:r>
    </w:p>
    <w:p w14:paraId="2DC12BC1">
      <w:pPr>
        <w:pStyle w:val="17"/>
        <w:ind w:left="825" w:hanging="720" w:firstLineChars="0"/>
        <w:rPr>
          <w:rFonts w:hint="eastAsia"/>
          <w:b/>
        </w:rPr>
      </w:pPr>
      <w:r>
        <w:rPr>
          <w:b/>
        </w:rPr>
        <w:t>（2）</w:t>
      </w:r>
      <w:r>
        <w:rPr>
          <w:rFonts w:hint="eastAsia"/>
          <w:b/>
        </w:rPr>
        <w:t>填写会议室预定表单相关信息，如下图</w:t>
      </w:r>
    </w:p>
    <w:p w14:paraId="66B85A29">
      <w:pPr>
        <w:pStyle w:val="17"/>
        <w:ind w:left="825" w:hanging="720" w:firstLineChars="0"/>
        <w:rPr>
          <w:rFonts w:hint="eastAsia"/>
        </w:rPr>
      </w:pPr>
      <w:r>
        <w:drawing>
          <wp:inline distT="0" distB="0" distL="0" distR="0">
            <wp:extent cx="5274310" cy="1207770"/>
            <wp:effectExtent l="0" t="0" r="2540" b="0"/>
            <wp:docPr id="1905737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740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130F">
      <w:pPr>
        <w:pStyle w:val="17"/>
        <w:ind w:left="825" w:hanging="720" w:firstLineChars="0"/>
        <w:rPr>
          <w:rFonts w:hint="eastAsia"/>
        </w:rPr>
      </w:pPr>
      <w:r>
        <w:drawing>
          <wp:inline distT="0" distB="0" distL="0" distR="0">
            <wp:extent cx="5274310" cy="3032760"/>
            <wp:effectExtent l="0" t="0" r="2540" b="0"/>
            <wp:docPr id="782408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0842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C8EF">
      <w:pPr>
        <w:pStyle w:val="17"/>
        <w:ind w:left="825" w:hanging="720" w:firstLineChars="0"/>
        <w:rPr>
          <w:rFonts w:hint="eastAsia"/>
        </w:rPr>
      </w:pPr>
      <w:r>
        <w:drawing>
          <wp:inline distT="0" distB="0" distL="0" distR="0">
            <wp:extent cx="5274310" cy="4062095"/>
            <wp:effectExtent l="0" t="0" r="2540" b="0"/>
            <wp:docPr id="573418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1848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6433">
      <w:pPr>
        <w:ind w:left="105"/>
        <w:rPr>
          <w:rFonts w:hint="eastAsia"/>
          <w:b/>
        </w:rPr>
      </w:pPr>
    </w:p>
    <w:p w14:paraId="30D4B72B">
      <w:pPr>
        <w:ind w:left="105" w:firstLine="440" w:firstLineChars="200"/>
        <w:rPr>
          <w:rFonts w:hint="eastAsia"/>
          <w:b/>
        </w:rPr>
      </w:pPr>
      <w:r>
        <w:rPr>
          <w:rFonts w:hint="eastAsia"/>
          <w:b/>
        </w:rPr>
        <w:t>填写好相关的信息后，点击提交按钮，走向下一步办理人；其中，若上每周日程，选择【是否列入学院一周工作安排】为是。</w:t>
      </w:r>
    </w:p>
    <w:p w14:paraId="4FCD2CA0">
      <w:pPr>
        <w:ind w:left="105" w:firstLine="440" w:firstLineChars="200"/>
        <w:rPr>
          <w:rFonts w:hint="eastAsia"/>
          <w:b/>
        </w:rPr>
      </w:pPr>
      <w:r>
        <w:rPr>
          <w:rFonts w:hint="eastAsia"/>
          <w:b/>
        </w:rPr>
        <w:t>选择会议室信息，确认日期地点后，详细选择会议起止时间。</w:t>
      </w:r>
    </w:p>
    <w:p w14:paraId="6B83C0C3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（3）待办查看</w:t>
      </w:r>
    </w:p>
    <w:p w14:paraId="3886F85E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办理人可以在应用待办或首页待办中处理相关的业务；直至流程结束；</w:t>
      </w:r>
    </w:p>
    <w:p w14:paraId="2CF30DFC">
      <w:pPr>
        <w:ind w:left="440" w:leftChars="200"/>
        <w:rPr>
          <w:rFonts w:hint="eastAsia"/>
          <w:b/>
        </w:rPr>
      </w:pPr>
      <w:r>
        <w:drawing>
          <wp:inline distT="0" distB="0" distL="0" distR="0">
            <wp:extent cx="5274310" cy="1377315"/>
            <wp:effectExtent l="0" t="0" r="2540" b="0"/>
            <wp:docPr id="1565288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88247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3C3D">
      <w:pPr>
        <w:rPr>
          <w:rFonts w:hint="eastAsia"/>
          <w:b/>
        </w:rPr>
      </w:pPr>
    </w:p>
    <w:p w14:paraId="6A4FB2C5">
      <w:pPr>
        <w:ind w:firstLine="440" w:firstLineChars="200"/>
        <w:rPr>
          <w:rFonts w:hint="eastAsia"/>
          <w:b/>
        </w:rPr>
      </w:pPr>
      <w:r>
        <w:rPr>
          <w:rFonts w:hint="eastAsia"/>
          <w:b/>
        </w:rPr>
        <w:t>流程办结后，可以在办结中查看：如下图</w:t>
      </w:r>
    </w:p>
    <w:p w14:paraId="0E8A1BC4">
      <w:pPr>
        <w:ind w:left="105"/>
        <w:rPr>
          <w:rFonts w:hint="eastAsia"/>
        </w:rPr>
      </w:pPr>
      <w:r>
        <w:drawing>
          <wp:inline distT="0" distB="0" distL="0" distR="0">
            <wp:extent cx="5274310" cy="1780540"/>
            <wp:effectExtent l="0" t="0" r="2540" b="0"/>
            <wp:docPr id="472024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24964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ECC4">
      <w:pPr>
        <w:pStyle w:val="3"/>
        <w:rPr>
          <w:rFonts w:hint="eastAsia" w:ascii="宋体" w:hAnsi="宋体"/>
          <w:szCs w:val="21"/>
        </w:rPr>
      </w:pPr>
      <w:r>
        <w:rPr>
          <w:rFonts w:hint="eastAsia"/>
        </w:rPr>
        <w:t>3.10每周日程查看</w:t>
      </w:r>
    </w:p>
    <w:p w14:paraId="3F230EBE">
      <w:pPr>
        <w:numPr>
          <w:ilvl w:val="0"/>
          <w:numId w:val="8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菜单选择：会议管理 -每周日程</w:t>
      </w:r>
    </w:p>
    <w:p w14:paraId="3EF96C4F">
      <w:pPr>
        <w:ind w:left="105"/>
        <w:rPr>
          <w:rFonts w:hint="eastAsia"/>
        </w:rPr>
      </w:pPr>
      <w:r>
        <w:drawing>
          <wp:inline distT="0" distB="0" distL="0" distR="0">
            <wp:extent cx="5274310" cy="2020570"/>
            <wp:effectExtent l="0" t="0" r="2540" b="0"/>
            <wp:docPr id="879096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96832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F203">
      <w:pPr>
        <w:numPr>
          <w:ilvl w:val="0"/>
          <w:numId w:val="8"/>
        </w:numPr>
        <w:rPr>
          <w:rFonts w:hint="eastAsia"/>
        </w:rPr>
      </w:pPr>
      <w:r>
        <w:rPr>
          <w:rFonts w:hint="eastAsia" w:ascii="宋体" w:hAnsi="宋体"/>
          <w:b/>
          <w:szCs w:val="21"/>
        </w:rPr>
        <w:t>周会安排查看</w:t>
      </w:r>
    </w:p>
    <w:p w14:paraId="489D125D">
      <w:pPr>
        <w:ind w:left="105"/>
        <w:rPr>
          <w:rFonts w:hint="eastAsia"/>
        </w:rPr>
      </w:pPr>
      <w:r>
        <w:drawing>
          <wp:inline distT="0" distB="0" distL="0" distR="0">
            <wp:extent cx="5274310" cy="3951605"/>
            <wp:effectExtent l="0" t="0" r="2540" b="0"/>
            <wp:docPr id="1442188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8808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593F">
      <w:pPr>
        <w:numPr>
          <w:ilvl w:val="0"/>
          <w:numId w:val="8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周会上报，参考会议室预定，在会议室预定申请单中【是否上周会表】选择为是</w:t>
      </w:r>
    </w:p>
    <w:p w14:paraId="5419771C">
      <w:pPr>
        <w:pStyle w:val="22"/>
        <w:ind w:left="-323" w:firstLine="960"/>
        <w:rPr>
          <w:rFonts w:hint="eastAsia"/>
          <w:sz w:val="40"/>
          <w:szCs w:val="144"/>
        </w:rPr>
      </w:pPr>
      <w:r>
        <w:rPr>
          <w:rFonts w:hint="eastAsia"/>
          <w:sz w:val="40"/>
          <w:szCs w:val="144"/>
        </w:rPr>
        <w:t>移动应用</w:t>
      </w:r>
      <w:r>
        <w:rPr>
          <w:sz w:val="40"/>
          <w:szCs w:val="144"/>
        </w:rPr>
        <w:t>访问说明</w:t>
      </w:r>
    </w:p>
    <w:p w14:paraId="7FE09458">
      <w:pPr>
        <w:pStyle w:val="3"/>
        <w:rPr>
          <w:rFonts w:hint="eastAsia"/>
        </w:rPr>
      </w:pPr>
      <w:r>
        <w:rPr>
          <w:rFonts w:hint="eastAsia"/>
        </w:rPr>
        <w:t>4.1首页页面说明</w:t>
      </w:r>
    </w:p>
    <w:p w14:paraId="6D4DA03C">
      <w:pPr>
        <w:rPr>
          <w:rFonts w:hint="eastAsia"/>
        </w:rPr>
      </w:pPr>
      <w:r>
        <w:drawing>
          <wp:inline distT="0" distB="0" distL="0" distR="0">
            <wp:extent cx="2756535" cy="5622925"/>
            <wp:effectExtent l="0" t="0" r="5715" b="0"/>
            <wp:docPr id="1732185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85229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58568" cy="56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1023">
      <w:pPr>
        <w:pStyle w:val="3"/>
        <w:rPr>
          <w:rFonts w:hint="eastAsia"/>
        </w:rPr>
      </w:pPr>
      <w:r>
        <w:rPr>
          <w:rFonts w:hint="eastAsia"/>
        </w:rPr>
        <w:t>4.2流程审批</w:t>
      </w:r>
    </w:p>
    <w:p w14:paraId="34BCEFBF"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1.进入待办，点击需审批的事宜</w:t>
      </w:r>
    </w:p>
    <w:p w14:paraId="4F4654D8">
      <w:pPr>
        <w:rPr>
          <w:rFonts w:hint="eastAsia" w:ascii="宋体" w:hAnsi="宋体"/>
          <w:b/>
          <w:szCs w:val="21"/>
        </w:rPr>
      </w:pPr>
      <w:r>
        <w:drawing>
          <wp:inline distT="0" distB="0" distL="0" distR="0">
            <wp:extent cx="2453005" cy="5092700"/>
            <wp:effectExtent l="0" t="0" r="4445" b="0"/>
            <wp:docPr id="369895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9520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56574" cy="50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5105400"/>
            <wp:effectExtent l="0" t="0" r="0" b="0"/>
            <wp:docPr id="952134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34142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67149" cy="51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36A2">
      <w:pPr>
        <w:widowControl/>
        <w:jc w:val="lef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br w:type="page"/>
      </w:r>
    </w:p>
    <w:p w14:paraId="1D0DC9DF">
      <w:pPr>
        <w:rPr>
          <w:rFonts w:hint="eastAsia" w:ascii="宋体" w:hAnsi="宋体"/>
          <w:b/>
          <w:szCs w:val="21"/>
        </w:rPr>
      </w:pPr>
    </w:p>
    <w:p w14:paraId="5831AFDE">
      <w:pPr>
        <w:numPr>
          <w:ilvl w:val="0"/>
          <w:numId w:val="9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查看概要、详情、流转记录</w:t>
      </w:r>
    </w:p>
    <w:p w14:paraId="0534C9D8">
      <w:pPr>
        <w:rPr>
          <w:rFonts w:hint="eastAsia"/>
        </w:rPr>
      </w:pPr>
      <w:r>
        <w:drawing>
          <wp:inline distT="0" distB="0" distL="0" distR="0">
            <wp:extent cx="1832610" cy="3962400"/>
            <wp:effectExtent l="0" t="0" r="0" b="0"/>
            <wp:docPr id="1661123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23948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40659" cy="39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74900" cy="5013325"/>
            <wp:effectExtent l="0" t="0" r="6350" b="0"/>
            <wp:docPr id="1286212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12728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78955" cy="50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100D">
      <w:pPr>
        <w:rPr>
          <w:rFonts w:hint="eastAsia"/>
        </w:rPr>
      </w:pPr>
      <w:r>
        <w:drawing>
          <wp:inline distT="0" distB="0" distL="0" distR="0">
            <wp:extent cx="1466850" cy="2999105"/>
            <wp:effectExtent l="0" t="0" r="0" b="0"/>
            <wp:docPr id="342469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69814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70527" cy="30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2D47">
      <w:pPr>
        <w:numPr>
          <w:ilvl w:val="0"/>
          <w:numId w:val="9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在概要或详情中【更多操作】可以选择按需进行内部传阅操作</w:t>
      </w:r>
    </w:p>
    <w:p w14:paraId="7AF957B9">
      <w:pPr>
        <w:tabs>
          <w:tab w:val="left" w:pos="312"/>
        </w:tabs>
        <w:rPr>
          <w:rFonts w:hint="eastAsia" w:ascii="宋体" w:hAnsi="宋体"/>
          <w:b/>
          <w:szCs w:val="21"/>
        </w:rPr>
      </w:pPr>
      <w:r>
        <w:drawing>
          <wp:inline distT="0" distB="0" distL="0" distR="0">
            <wp:extent cx="2171700" cy="4693920"/>
            <wp:effectExtent l="0" t="0" r="0" b="0"/>
            <wp:docPr id="1368132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32726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74849" cy="47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C9FF">
      <w:pPr>
        <w:widowControl/>
        <w:jc w:val="lef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br w:type="page"/>
      </w:r>
    </w:p>
    <w:p w14:paraId="1E0D2A22">
      <w:pPr>
        <w:tabs>
          <w:tab w:val="left" w:pos="312"/>
        </w:tabs>
        <w:rPr>
          <w:rFonts w:hint="eastAsia" w:ascii="宋体" w:hAnsi="宋体"/>
          <w:b/>
          <w:szCs w:val="21"/>
        </w:rPr>
      </w:pPr>
    </w:p>
    <w:p w14:paraId="2FE49F7C">
      <w:pPr>
        <w:numPr>
          <w:ilvl w:val="0"/>
          <w:numId w:val="9"/>
        </w:num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点击【办理】按钮，可以填写意见，提交流程</w:t>
      </w:r>
    </w:p>
    <w:p w14:paraId="2B450252">
      <w:pPr>
        <w:rPr>
          <w:rFonts w:hint="eastAsia"/>
        </w:rPr>
      </w:pPr>
      <w:r>
        <w:drawing>
          <wp:inline distT="0" distB="0" distL="0" distR="0">
            <wp:extent cx="2095500" cy="4529455"/>
            <wp:effectExtent l="0" t="0" r="0" b="4445"/>
            <wp:docPr id="1853020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20230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03985" cy="454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D1D97">
    <w:pPr>
      <w:pStyle w:val="6"/>
    </w:pPr>
  </w:p>
  <w:p w14:paraId="0994E640"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D9692">
    <w:pPr>
      <w:pStyle w:val="7"/>
      <w:pBdr>
        <w:bottom w:val="none" w:color="auto" w:sz="0" w:space="0"/>
      </w:pBdr>
      <w:ind w:firstLine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EEB939"/>
    <w:multiLevelType w:val="singleLevel"/>
    <w:tmpl w:val="8CEEB93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119C2B"/>
    <w:multiLevelType w:val="singleLevel"/>
    <w:tmpl w:val="C3119C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7ACAA49"/>
    <w:multiLevelType w:val="singleLevel"/>
    <w:tmpl w:val="C7ACAA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4E61439"/>
    <w:multiLevelType w:val="multilevel"/>
    <w:tmpl w:val="34E61439"/>
    <w:lvl w:ilvl="0" w:tentative="0">
      <w:start w:val="1"/>
      <w:numFmt w:val="decimal"/>
      <w:pStyle w:val="2"/>
      <w:lvlText w:val="%1."/>
      <w:lvlJc w:val="left"/>
      <w:pPr>
        <w:ind w:left="1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3A064C"/>
    <w:multiLevelType w:val="multilevel"/>
    <w:tmpl w:val="3A3A064C"/>
    <w:lvl w:ilvl="0" w:tentative="0">
      <w:start w:val="1"/>
      <w:numFmt w:val="decimal"/>
      <w:lvlText w:val="（%1）"/>
      <w:lvlJc w:val="left"/>
      <w:pPr>
        <w:ind w:left="11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40"/>
      </w:pPr>
    </w:lvl>
    <w:lvl w:ilvl="2" w:tentative="0">
      <w:start w:val="1"/>
      <w:numFmt w:val="lowerRoman"/>
      <w:lvlText w:val="%3."/>
      <w:lvlJc w:val="right"/>
      <w:pPr>
        <w:ind w:left="1760" w:hanging="440"/>
      </w:pPr>
    </w:lvl>
    <w:lvl w:ilvl="3" w:tentative="0">
      <w:start w:val="1"/>
      <w:numFmt w:val="decimal"/>
      <w:lvlText w:val="%4."/>
      <w:lvlJc w:val="left"/>
      <w:pPr>
        <w:ind w:left="2200" w:hanging="440"/>
      </w:pPr>
    </w:lvl>
    <w:lvl w:ilvl="4" w:tentative="0">
      <w:start w:val="1"/>
      <w:numFmt w:val="lowerLetter"/>
      <w:lvlText w:val="%5)"/>
      <w:lvlJc w:val="left"/>
      <w:pPr>
        <w:ind w:left="2640" w:hanging="440"/>
      </w:pPr>
    </w:lvl>
    <w:lvl w:ilvl="5" w:tentative="0">
      <w:start w:val="1"/>
      <w:numFmt w:val="lowerRoman"/>
      <w:lvlText w:val="%6."/>
      <w:lvlJc w:val="right"/>
      <w:pPr>
        <w:ind w:left="3080" w:hanging="440"/>
      </w:pPr>
    </w:lvl>
    <w:lvl w:ilvl="6" w:tentative="0">
      <w:start w:val="1"/>
      <w:numFmt w:val="decimal"/>
      <w:lvlText w:val="%7."/>
      <w:lvlJc w:val="left"/>
      <w:pPr>
        <w:ind w:left="3520" w:hanging="440"/>
      </w:pPr>
    </w:lvl>
    <w:lvl w:ilvl="7" w:tentative="0">
      <w:start w:val="1"/>
      <w:numFmt w:val="lowerLetter"/>
      <w:lvlText w:val="%8)"/>
      <w:lvlJc w:val="left"/>
      <w:pPr>
        <w:ind w:left="3960" w:hanging="440"/>
      </w:pPr>
    </w:lvl>
    <w:lvl w:ilvl="8" w:tentative="0">
      <w:start w:val="1"/>
      <w:numFmt w:val="lowerRoman"/>
      <w:lvlText w:val="%9."/>
      <w:lvlJc w:val="right"/>
      <w:pPr>
        <w:ind w:left="4400" w:hanging="440"/>
      </w:pPr>
    </w:lvl>
  </w:abstractNum>
  <w:abstractNum w:abstractNumId="5">
    <w:nsid w:val="492307F8"/>
    <w:multiLevelType w:val="multilevel"/>
    <w:tmpl w:val="492307F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5B4DD9AE"/>
    <w:multiLevelType w:val="singleLevel"/>
    <w:tmpl w:val="5B4DD9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FA15A80"/>
    <w:multiLevelType w:val="singleLevel"/>
    <w:tmpl w:val="5FA15A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C38446A"/>
    <w:multiLevelType w:val="multilevel"/>
    <w:tmpl w:val="7C38446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1YmQzZjJiZTg2ODM5YjY4ODg4ZmY2NzU3MjcyZDAifQ=="/>
  </w:docVars>
  <w:rsids>
    <w:rsidRoot w:val="00A8687B"/>
    <w:rsid w:val="00001F7F"/>
    <w:rsid w:val="000115E9"/>
    <w:rsid w:val="0001614D"/>
    <w:rsid w:val="00017391"/>
    <w:rsid w:val="000248BE"/>
    <w:rsid w:val="00032C67"/>
    <w:rsid w:val="000564F8"/>
    <w:rsid w:val="000643F6"/>
    <w:rsid w:val="0006726A"/>
    <w:rsid w:val="0007055D"/>
    <w:rsid w:val="000732C8"/>
    <w:rsid w:val="000745C5"/>
    <w:rsid w:val="00075157"/>
    <w:rsid w:val="0008683D"/>
    <w:rsid w:val="000A56B7"/>
    <w:rsid w:val="000B1AA7"/>
    <w:rsid w:val="000C1B64"/>
    <w:rsid w:val="000C5B14"/>
    <w:rsid w:val="000D1E76"/>
    <w:rsid w:val="000E1FB3"/>
    <w:rsid w:val="000E4ADC"/>
    <w:rsid w:val="000E7D9B"/>
    <w:rsid w:val="000F0810"/>
    <w:rsid w:val="000F7259"/>
    <w:rsid w:val="00101B4B"/>
    <w:rsid w:val="001064E2"/>
    <w:rsid w:val="0017691C"/>
    <w:rsid w:val="001A62F1"/>
    <w:rsid w:val="001A6C09"/>
    <w:rsid w:val="001B4979"/>
    <w:rsid w:val="001D63C7"/>
    <w:rsid w:val="001E2881"/>
    <w:rsid w:val="001E6489"/>
    <w:rsid w:val="001F5A1E"/>
    <w:rsid w:val="00203856"/>
    <w:rsid w:val="0021370E"/>
    <w:rsid w:val="0023068D"/>
    <w:rsid w:val="00233340"/>
    <w:rsid w:val="00240173"/>
    <w:rsid w:val="002514E8"/>
    <w:rsid w:val="00270168"/>
    <w:rsid w:val="002727B1"/>
    <w:rsid w:val="002734D1"/>
    <w:rsid w:val="00277046"/>
    <w:rsid w:val="002817E2"/>
    <w:rsid w:val="00285962"/>
    <w:rsid w:val="00290234"/>
    <w:rsid w:val="0029607E"/>
    <w:rsid w:val="0029722E"/>
    <w:rsid w:val="002B4735"/>
    <w:rsid w:val="002B50D4"/>
    <w:rsid w:val="002C03E0"/>
    <w:rsid w:val="002C75EB"/>
    <w:rsid w:val="002E7198"/>
    <w:rsid w:val="002F6EA2"/>
    <w:rsid w:val="002F7FC9"/>
    <w:rsid w:val="00300B4F"/>
    <w:rsid w:val="00302C18"/>
    <w:rsid w:val="00303251"/>
    <w:rsid w:val="00313926"/>
    <w:rsid w:val="00320594"/>
    <w:rsid w:val="00322326"/>
    <w:rsid w:val="00327754"/>
    <w:rsid w:val="00336DED"/>
    <w:rsid w:val="00341287"/>
    <w:rsid w:val="0036467E"/>
    <w:rsid w:val="00386402"/>
    <w:rsid w:val="003900CC"/>
    <w:rsid w:val="003D6BE6"/>
    <w:rsid w:val="003E1377"/>
    <w:rsid w:val="004029D8"/>
    <w:rsid w:val="004106C1"/>
    <w:rsid w:val="00410912"/>
    <w:rsid w:val="004124EE"/>
    <w:rsid w:val="00433AFA"/>
    <w:rsid w:val="00444E02"/>
    <w:rsid w:val="00450B45"/>
    <w:rsid w:val="00466759"/>
    <w:rsid w:val="00467DDD"/>
    <w:rsid w:val="0047389B"/>
    <w:rsid w:val="00477817"/>
    <w:rsid w:val="00486296"/>
    <w:rsid w:val="00491A8D"/>
    <w:rsid w:val="004B1A4F"/>
    <w:rsid w:val="004B5447"/>
    <w:rsid w:val="004C51F2"/>
    <w:rsid w:val="004D03C8"/>
    <w:rsid w:val="005157A7"/>
    <w:rsid w:val="00521475"/>
    <w:rsid w:val="00546B70"/>
    <w:rsid w:val="00572FE6"/>
    <w:rsid w:val="005813CC"/>
    <w:rsid w:val="00582EC0"/>
    <w:rsid w:val="00583D7E"/>
    <w:rsid w:val="005B196E"/>
    <w:rsid w:val="005F7155"/>
    <w:rsid w:val="005F7E0B"/>
    <w:rsid w:val="00625249"/>
    <w:rsid w:val="00632215"/>
    <w:rsid w:val="00632425"/>
    <w:rsid w:val="00634F45"/>
    <w:rsid w:val="00680319"/>
    <w:rsid w:val="0068157D"/>
    <w:rsid w:val="006959DB"/>
    <w:rsid w:val="0069696E"/>
    <w:rsid w:val="006A0D47"/>
    <w:rsid w:val="006D11DA"/>
    <w:rsid w:val="006D1520"/>
    <w:rsid w:val="006D2680"/>
    <w:rsid w:val="006D50EF"/>
    <w:rsid w:val="006F1A3D"/>
    <w:rsid w:val="006F4A30"/>
    <w:rsid w:val="006F636E"/>
    <w:rsid w:val="00713BBB"/>
    <w:rsid w:val="0071676B"/>
    <w:rsid w:val="0072227A"/>
    <w:rsid w:val="00733BF9"/>
    <w:rsid w:val="00734DA7"/>
    <w:rsid w:val="00754134"/>
    <w:rsid w:val="007624EF"/>
    <w:rsid w:val="00767E70"/>
    <w:rsid w:val="00770781"/>
    <w:rsid w:val="0077515B"/>
    <w:rsid w:val="00777B16"/>
    <w:rsid w:val="00783878"/>
    <w:rsid w:val="00783BF3"/>
    <w:rsid w:val="00793823"/>
    <w:rsid w:val="007A425E"/>
    <w:rsid w:val="007A75D7"/>
    <w:rsid w:val="007B7854"/>
    <w:rsid w:val="007D0CD7"/>
    <w:rsid w:val="007D30A7"/>
    <w:rsid w:val="007D339C"/>
    <w:rsid w:val="007E7F45"/>
    <w:rsid w:val="007F5697"/>
    <w:rsid w:val="00800382"/>
    <w:rsid w:val="008079BC"/>
    <w:rsid w:val="00810D04"/>
    <w:rsid w:val="00820107"/>
    <w:rsid w:val="00821E22"/>
    <w:rsid w:val="008254C3"/>
    <w:rsid w:val="00837974"/>
    <w:rsid w:val="008471B3"/>
    <w:rsid w:val="00863FD7"/>
    <w:rsid w:val="00893832"/>
    <w:rsid w:val="00896E6D"/>
    <w:rsid w:val="008A51E7"/>
    <w:rsid w:val="008A77A8"/>
    <w:rsid w:val="008B6EBD"/>
    <w:rsid w:val="008B721F"/>
    <w:rsid w:val="008C424D"/>
    <w:rsid w:val="008C4C52"/>
    <w:rsid w:val="008D0932"/>
    <w:rsid w:val="008E0C1A"/>
    <w:rsid w:val="008E163F"/>
    <w:rsid w:val="00913819"/>
    <w:rsid w:val="00915B4B"/>
    <w:rsid w:val="0091657D"/>
    <w:rsid w:val="009179F7"/>
    <w:rsid w:val="0093741E"/>
    <w:rsid w:val="00945DE1"/>
    <w:rsid w:val="00962B19"/>
    <w:rsid w:val="00972DFB"/>
    <w:rsid w:val="009A1019"/>
    <w:rsid w:val="009B500B"/>
    <w:rsid w:val="009C46D3"/>
    <w:rsid w:val="009C6214"/>
    <w:rsid w:val="009D007E"/>
    <w:rsid w:val="009D2FD3"/>
    <w:rsid w:val="009E0F13"/>
    <w:rsid w:val="009E40B5"/>
    <w:rsid w:val="00A02685"/>
    <w:rsid w:val="00A108F3"/>
    <w:rsid w:val="00A12C86"/>
    <w:rsid w:val="00A2440A"/>
    <w:rsid w:val="00A24FDA"/>
    <w:rsid w:val="00A40094"/>
    <w:rsid w:val="00A40A15"/>
    <w:rsid w:val="00A464F6"/>
    <w:rsid w:val="00A467D5"/>
    <w:rsid w:val="00A55279"/>
    <w:rsid w:val="00A615B5"/>
    <w:rsid w:val="00A71BA0"/>
    <w:rsid w:val="00A8687B"/>
    <w:rsid w:val="00A90AE6"/>
    <w:rsid w:val="00AB485A"/>
    <w:rsid w:val="00AC164F"/>
    <w:rsid w:val="00AC4DDF"/>
    <w:rsid w:val="00AC4FF8"/>
    <w:rsid w:val="00AE0718"/>
    <w:rsid w:val="00AE14F3"/>
    <w:rsid w:val="00AF5102"/>
    <w:rsid w:val="00B17DA1"/>
    <w:rsid w:val="00B24949"/>
    <w:rsid w:val="00B332F9"/>
    <w:rsid w:val="00B3416D"/>
    <w:rsid w:val="00B65789"/>
    <w:rsid w:val="00B72063"/>
    <w:rsid w:val="00B72720"/>
    <w:rsid w:val="00B92660"/>
    <w:rsid w:val="00B94D5C"/>
    <w:rsid w:val="00BA5B2C"/>
    <w:rsid w:val="00BB4171"/>
    <w:rsid w:val="00BB4B61"/>
    <w:rsid w:val="00BF0B71"/>
    <w:rsid w:val="00BF737A"/>
    <w:rsid w:val="00C06C0B"/>
    <w:rsid w:val="00C20C4E"/>
    <w:rsid w:val="00C20E04"/>
    <w:rsid w:val="00C20E13"/>
    <w:rsid w:val="00C34B3D"/>
    <w:rsid w:val="00C54CF0"/>
    <w:rsid w:val="00C66B9C"/>
    <w:rsid w:val="00C75F95"/>
    <w:rsid w:val="00C80BE4"/>
    <w:rsid w:val="00CA0704"/>
    <w:rsid w:val="00CA74E8"/>
    <w:rsid w:val="00CA76FA"/>
    <w:rsid w:val="00CB1128"/>
    <w:rsid w:val="00CC3B2D"/>
    <w:rsid w:val="00D11F97"/>
    <w:rsid w:val="00D17CCE"/>
    <w:rsid w:val="00D21D75"/>
    <w:rsid w:val="00D227CD"/>
    <w:rsid w:val="00D772B3"/>
    <w:rsid w:val="00D77936"/>
    <w:rsid w:val="00D91724"/>
    <w:rsid w:val="00DA41B3"/>
    <w:rsid w:val="00DA6186"/>
    <w:rsid w:val="00DB43C0"/>
    <w:rsid w:val="00DD1356"/>
    <w:rsid w:val="00E346E0"/>
    <w:rsid w:val="00E6026A"/>
    <w:rsid w:val="00E70000"/>
    <w:rsid w:val="00E75511"/>
    <w:rsid w:val="00EA78B8"/>
    <w:rsid w:val="00EB0E21"/>
    <w:rsid w:val="00EC3284"/>
    <w:rsid w:val="00EE581B"/>
    <w:rsid w:val="00F11C2A"/>
    <w:rsid w:val="00F11DF2"/>
    <w:rsid w:val="00F12B1E"/>
    <w:rsid w:val="00F34442"/>
    <w:rsid w:val="00F54167"/>
    <w:rsid w:val="00F719ED"/>
    <w:rsid w:val="00F75B89"/>
    <w:rsid w:val="00FB39B5"/>
    <w:rsid w:val="00FC25FA"/>
    <w:rsid w:val="00FD2ADA"/>
    <w:rsid w:val="00FE5227"/>
    <w:rsid w:val="00FE61F2"/>
    <w:rsid w:val="00FE63F7"/>
    <w:rsid w:val="03A72231"/>
    <w:rsid w:val="03CF19AD"/>
    <w:rsid w:val="066345E4"/>
    <w:rsid w:val="067B3A34"/>
    <w:rsid w:val="070074E8"/>
    <w:rsid w:val="07EB1A50"/>
    <w:rsid w:val="09B26A18"/>
    <w:rsid w:val="0A365F5A"/>
    <w:rsid w:val="0A8A7125"/>
    <w:rsid w:val="110F1A5D"/>
    <w:rsid w:val="135D0D26"/>
    <w:rsid w:val="142E7CDE"/>
    <w:rsid w:val="155838BF"/>
    <w:rsid w:val="15D777A5"/>
    <w:rsid w:val="16E13739"/>
    <w:rsid w:val="17127177"/>
    <w:rsid w:val="17DE6A94"/>
    <w:rsid w:val="1A952FE3"/>
    <w:rsid w:val="1BE834C2"/>
    <w:rsid w:val="1CB47291"/>
    <w:rsid w:val="1D873C99"/>
    <w:rsid w:val="1EDE0CF7"/>
    <w:rsid w:val="22E146CF"/>
    <w:rsid w:val="26303CD6"/>
    <w:rsid w:val="273D2914"/>
    <w:rsid w:val="278F1C2D"/>
    <w:rsid w:val="27FF0EA8"/>
    <w:rsid w:val="280B656E"/>
    <w:rsid w:val="286F54B3"/>
    <w:rsid w:val="2BA82809"/>
    <w:rsid w:val="2BC21DB4"/>
    <w:rsid w:val="2DD1025A"/>
    <w:rsid w:val="33E356C8"/>
    <w:rsid w:val="34E92491"/>
    <w:rsid w:val="36094877"/>
    <w:rsid w:val="363475D8"/>
    <w:rsid w:val="364A1D39"/>
    <w:rsid w:val="37B01D7D"/>
    <w:rsid w:val="3A2071E1"/>
    <w:rsid w:val="3F5940ED"/>
    <w:rsid w:val="41A16874"/>
    <w:rsid w:val="41C757A4"/>
    <w:rsid w:val="41EC0C4E"/>
    <w:rsid w:val="44C1453C"/>
    <w:rsid w:val="44FD4ADE"/>
    <w:rsid w:val="458661EC"/>
    <w:rsid w:val="48561630"/>
    <w:rsid w:val="486E1F3F"/>
    <w:rsid w:val="49C6628F"/>
    <w:rsid w:val="4C6C40EA"/>
    <w:rsid w:val="4D2B1060"/>
    <w:rsid w:val="4F353FD7"/>
    <w:rsid w:val="4FFA1FC7"/>
    <w:rsid w:val="50B900F5"/>
    <w:rsid w:val="514C363C"/>
    <w:rsid w:val="5216391D"/>
    <w:rsid w:val="581B1F4E"/>
    <w:rsid w:val="58F67250"/>
    <w:rsid w:val="595D06CE"/>
    <w:rsid w:val="597D52A8"/>
    <w:rsid w:val="5AC90055"/>
    <w:rsid w:val="5D90047D"/>
    <w:rsid w:val="5EB94321"/>
    <w:rsid w:val="5F0B3089"/>
    <w:rsid w:val="60BA4D3B"/>
    <w:rsid w:val="618B1722"/>
    <w:rsid w:val="64855F7A"/>
    <w:rsid w:val="65C72A60"/>
    <w:rsid w:val="664704A5"/>
    <w:rsid w:val="67232E63"/>
    <w:rsid w:val="67BE2C99"/>
    <w:rsid w:val="68A2498E"/>
    <w:rsid w:val="6A0F6F86"/>
    <w:rsid w:val="6ACC6940"/>
    <w:rsid w:val="6B782C3A"/>
    <w:rsid w:val="6BEA4EF6"/>
    <w:rsid w:val="6F2B0871"/>
    <w:rsid w:val="745F5EC9"/>
    <w:rsid w:val="74882F25"/>
    <w:rsid w:val="76CA5917"/>
    <w:rsid w:val="79432F5D"/>
    <w:rsid w:val="79E027FA"/>
    <w:rsid w:val="7B564536"/>
    <w:rsid w:val="7D950B2D"/>
    <w:rsid w:val="7DD42834"/>
    <w:rsid w:val="7EC754E3"/>
    <w:rsid w:val="7F467DA1"/>
    <w:rsid w:val="7F8A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spacing w:line="578" w:lineRule="auto"/>
      <w:ind w:left="420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9"/>
    <w:pPr>
      <w:keepNext/>
      <w:keepLines/>
      <w:spacing w:line="415" w:lineRule="auto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autoRedefine/>
    <w:qFormat/>
    <w:uiPriority w:val="99"/>
    <w:pPr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rebuchet MS" w:hAnsi="Trebuchet MS" w:eastAsia="宋体" w:cs="Times New Roman"/>
      <w:sz w:val="18"/>
      <w:szCs w:val="18"/>
    </w:rPr>
  </w:style>
  <w:style w:type="paragraph" w:styleId="7">
    <w:name w:val="header"/>
    <w:basedOn w:val="1"/>
    <w:link w:val="1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rebuchet MS" w:hAnsi="Trebuchet MS" w:eastAsia="宋体" w:cs="Times New Roman"/>
      <w:sz w:val="18"/>
      <w:szCs w:val="18"/>
    </w:rPr>
  </w:style>
  <w:style w:type="character" w:styleId="10">
    <w:name w:val="FollowedHyperlink"/>
    <w:basedOn w:val="9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9"/>
    <w:link w:val="2"/>
    <w:autoRedefine/>
    <w:qFormat/>
    <w:uiPriority w:val="9"/>
    <w:rPr>
      <w:rFonts w:ascii="微软雅黑" w:hAnsi="微软雅黑" w:eastAsia="微软雅黑" w:cstheme="minorBidi"/>
      <w:b/>
      <w:bCs/>
      <w:kern w:val="44"/>
      <w:sz w:val="30"/>
      <w:szCs w:val="44"/>
    </w:rPr>
  </w:style>
  <w:style w:type="character" w:customStyle="1" w:styleId="13">
    <w:name w:val="标题 2 字符"/>
    <w:basedOn w:val="9"/>
    <w:link w:val="3"/>
    <w:autoRedefine/>
    <w:qFormat/>
    <w:uiPriority w:val="9"/>
    <w:rPr>
      <w:rFonts w:ascii="微软雅黑" w:hAnsi="微软雅黑" w:eastAsia="微软雅黑" w:cstheme="majorBidi"/>
      <w:b/>
      <w:bCs/>
      <w:sz w:val="32"/>
      <w:szCs w:val="32"/>
    </w:rPr>
  </w:style>
  <w:style w:type="character" w:customStyle="1" w:styleId="14">
    <w:name w:val="页脚 字符"/>
    <w:basedOn w:val="9"/>
    <w:link w:val="6"/>
    <w:autoRedefine/>
    <w:qFormat/>
    <w:uiPriority w:val="99"/>
    <w:rPr>
      <w:rFonts w:ascii="Trebuchet MS" w:hAnsi="Trebuchet MS" w:eastAsia="宋体" w:cs="Times New Roman"/>
      <w:sz w:val="18"/>
      <w:szCs w:val="18"/>
    </w:rPr>
  </w:style>
  <w:style w:type="character" w:customStyle="1" w:styleId="15">
    <w:name w:val="页眉 字符"/>
    <w:basedOn w:val="9"/>
    <w:link w:val="7"/>
    <w:autoRedefine/>
    <w:qFormat/>
    <w:uiPriority w:val="99"/>
    <w:rPr>
      <w:rFonts w:ascii="Trebuchet MS" w:hAnsi="Trebuchet MS" w:eastAsia="宋体" w:cs="Times New Roman"/>
      <w:sz w:val="18"/>
      <w:szCs w:val="18"/>
    </w:rPr>
  </w:style>
  <w:style w:type="paragraph" w:customStyle="1" w:styleId="16">
    <w:name w:val="列出段落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 w:val="21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批注框文本 字符"/>
    <w:basedOn w:val="9"/>
    <w:link w:val="5"/>
    <w:autoRedefine/>
    <w:semiHidden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19">
    <w:name w:val="标题 3 字符"/>
    <w:basedOn w:val="9"/>
    <w:link w:val="4"/>
    <w:autoRedefine/>
    <w:qFormat/>
    <w:uiPriority w:val="9"/>
    <w:rPr>
      <w:rFonts w:ascii="微软雅黑" w:hAnsi="微软雅黑" w:eastAsia="微软雅黑"/>
      <w:b/>
      <w:bCs/>
      <w:sz w:val="32"/>
      <w:szCs w:val="32"/>
    </w:rPr>
  </w:style>
  <w:style w:type="paragraph" w:customStyle="1" w:styleId="20">
    <w:name w:val="标准文本"/>
    <w:basedOn w:val="1"/>
    <w:autoRedefine/>
    <w:qFormat/>
    <w:uiPriority w:val="0"/>
    <w:pPr>
      <w:ind w:firstLine="480"/>
    </w:pPr>
    <w:rPr>
      <w:rFonts w:cs="宋体"/>
    </w:rPr>
  </w:style>
  <w:style w:type="character" w:customStyle="1" w:styleId="21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paragraph" w:customStyle="1" w:styleId="22">
    <w:name w:val="21bc9c4b-6a32-43e5-beaa-fd2d792c5735"/>
    <w:basedOn w:val="2"/>
    <w:next w:val="23"/>
    <w:link w:val="24"/>
    <w:uiPriority w:val="0"/>
    <w:pPr>
      <w:adjustRightInd w:val="0"/>
      <w:spacing w:line="288" w:lineRule="auto"/>
      <w:ind w:left="1980"/>
    </w:pPr>
    <w:rPr>
      <w:rFonts w:cs="Arial"/>
      <w:snapToGrid w:val="0"/>
      <w:color w:val="000000"/>
      <w:sz w:val="32"/>
      <w:szCs w:val="72"/>
    </w:rPr>
  </w:style>
  <w:style w:type="paragraph" w:customStyle="1" w:styleId="23">
    <w:name w:val="acbfdd8b-e11b-4d36-88ff-6049b138f862"/>
    <w:basedOn w:val="1"/>
    <w:link w:val="25"/>
    <w:uiPriority w:val="0"/>
    <w:pPr>
      <w:adjustRightInd w:val="0"/>
      <w:spacing w:line="288" w:lineRule="auto"/>
      <w:ind w:left="-147" w:leftChars="-147" w:firstLine="300" w:firstLineChars="300"/>
      <w:jc w:val="left"/>
    </w:pPr>
    <w:rPr>
      <w:rFonts w:cs="Arial"/>
      <w:snapToGrid w:val="0"/>
      <w:color w:val="000000"/>
      <w:szCs w:val="72"/>
    </w:rPr>
  </w:style>
  <w:style w:type="character" w:customStyle="1" w:styleId="24">
    <w:name w:val="21bc9c4b-6a32-43e5-beaa-fd2d792c5735 字符"/>
    <w:basedOn w:val="9"/>
    <w:link w:val="22"/>
    <w:uiPriority w:val="0"/>
    <w:rPr>
      <w:rFonts w:ascii="微软雅黑" w:hAnsi="微软雅黑" w:eastAsia="微软雅黑" w:cs="Arial"/>
      <w:b/>
      <w:bCs/>
      <w:snapToGrid w:val="0"/>
      <w:color w:val="000000"/>
      <w:kern w:val="44"/>
      <w:sz w:val="32"/>
      <w:szCs w:val="72"/>
    </w:rPr>
  </w:style>
  <w:style w:type="character" w:customStyle="1" w:styleId="25">
    <w:name w:val="acbfdd8b-e11b-4d36-88ff-6049b138f862 字符"/>
    <w:basedOn w:val="9"/>
    <w:link w:val="23"/>
    <w:uiPriority w:val="0"/>
    <w:rPr>
      <w:rFonts w:ascii="微软雅黑" w:hAnsi="微软雅黑" w:eastAsia="微软雅黑" w:cs="Arial"/>
      <w:snapToGrid w:val="0"/>
      <w:color w:val="000000"/>
      <w:kern w:val="2"/>
      <w:sz w:val="22"/>
      <w:szCs w:val="7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1905</Words>
  <Characters>2117</Characters>
  <Lines>376</Lines>
  <Paragraphs>387</Paragraphs>
  <TotalTime>18</TotalTime>
  <ScaleCrop>false</ScaleCrop>
  <LinksUpToDate>false</LinksUpToDate>
  <CharactersWithSpaces>2133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2025-03-18T02:45:00Z</dcterms:created>
  <dc:creator>Windows 用户</dc:creator>
  <cp:lastModifiedBy>一朵大榴莲</cp:lastModifiedBy>
  <dcterms:modified xsi:type="dcterms:W3CDTF">2025-04-18T09:08:14Z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6EC0BE4FDBF9415F804C0ABED5D8B55A_12</vt:lpwstr>
  </property>
  <property fmtid="{D5CDD505-2E9C-101B-9397-08002B2CF9AE}" pid="4" name="KSOTemplateDocerSaveRecord">
    <vt:lpwstr>eyJoZGlkIjoiZTA4NzIyN2MxYTlmMzQ1NGE2MjU5NWRkMjhlOGMxYTAiLCJ1c2VySWQiOiI1NTcxMzMwODMifQ==</vt:lpwstr>
  </property>
</Properties>
</file>